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801" w:rsidRPr="00277801" w:rsidRDefault="00277801" w:rsidP="00277801">
      <w:pPr>
        <w:pStyle w:val="Tablesub-heading"/>
        <w:shd w:val="clear" w:color="auto" w:fill="365F91" w:themeFill="accent1" w:themeFillShade="BF"/>
        <w:spacing w:after="0"/>
        <w:rPr>
          <w:color w:val="FFFFFF" w:themeColor="background1"/>
        </w:rPr>
      </w:pPr>
      <w:bookmarkStart w:id="0" w:name="_GoBack"/>
      <w:bookmarkEnd w:id="0"/>
      <w:r w:rsidRPr="00277801">
        <w:rPr>
          <w:color w:val="FFFFFF" w:themeColor="background1"/>
        </w:rPr>
        <w:t xml:space="preserve">Target 3.1: </w:t>
      </w:r>
      <w:r>
        <w:rPr>
          <w:color w:val="FFFFFF" w:themeColor="background1"/>
        </w:rPr>
        <w:tab/>
      </w:r>
      <w:r w:rsidRPr="00277801">
        <w:rPr>
          <w:color w:val="FFFFFF" w:themeColor="background1"/>
        </w:rPr>
        <w:t xml:space="preserve">By 2030, reduce the global maternal mortality ratio to less </w:t>
      </w:r>
      <w:r>
        <w:rPr>
          <w:color w:val="FFFFFF" w:themeColor="background1"/>
        </w:rPr>
        <w:t>than 70 per 100,000 live births</w:t>
      </w:r>
    </w:p>
    <w:p w:rsidR="000D53B6" w:rsidRDefault="007B0B32" w:rsidP="00277801">
      <w:pPr>
        <w:pStyle w:val="Tablesub-heading"/>
      </w:pPr>
      <w:r>
        <w:t>Indicator 3.3.1</w:t>
      </w:r>
      <w:r w:rsidR="00277801">
        <w:t>:</w:t>
      </w:r>
      <w:r w:rsidR="00277801">
        <w:tab/>
      </w:r>
      <w:r w:rsidRPr="007B0B32">
        <w:t>Maternal deaths per 100,000 live births</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7B0B32" w:rsidRPr="00DE0966" w:rsidTr="00F35CAF">
        <w:trPr>
          <w:trHeight w:val="117"/>
        </w:trPr>
        <w:tc>
          <w:tcPr>
            <w:tcW w:w="2042" w:type="dxa"/>
            <w:tcBorders>
              <w:top w:val="single" w:sz="4" w:space="0" w:color="A3BBD5"/>
              <w:bottom w:val="nil"/>
            </w:tcBorders>
            <w:shd w:val="clear" w:color="000000" w:fill="E6F0FA"/>
            <w:hideMark/>
          </w:tcPr>
          <w:p w:rsidR="007B0B32" w:rsidRPr="00AB6CEA"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7B0B32" w:rsidRPr="00CC61E5" w:rsidRDefault="007B0B32" w:rsidP="00F35CAF">
            <w:pPr>
              <w:pStyle w:val="IndicatorName"/>
              <w:framePr w:hSpace="0" w:wrap="auto" w:vAnchor="margin" w:hAnchor="text" w:yAlign="inline"/>
              <w:rPr>
                <w:color w:val="auto"/>
              </w:rPr>
            </w:pPr>
            <w:bookmarkStart w:id="1" w:name="_Toc418774218"/>
            <w:r w:rsidRPr="00AB6CEA">
              <w:t>Maternal mortality ratio</w:t>
            </w:r>
            <w:bookmarkEnd w:id="1"/>
          </w:p>
        </w:tc>
      </w:tr>
      <w:tr w:rsidR="007B0B32" w:rsidRPr="00DE0966" w:rsidTr="00F35CAF">
        <w:trPr>
          <w:trHeight w:val="35"/>
        </w:trPr>
        <w:tc>
          <w:tcPr>
            <w:tcW w:w="2042" w:type="dxa"/>
            <w:tcBorders>
              <w:top w:val="nil"/>
              <w:bottom w:val="nil"/>
            </w:tcBorders>
            <w:shd w:val="clear" w:color="000000" w:fill="E6F0FA"/>
            <w:hideMark/>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Indicator name</w:t>
            </w:r>
          </w:p>
        </w:tc>
        <w:tc>
          <w:tcPr>
            <w:tcW w:w="7654" w:type="dxa"/>
            <w:shd w:val="clear" w:color="auto" w:fill="auto"/>
          </w:tcPr>
          <w:p w:rsidR="007B0B32" w:rsidRPr="00CC61E5" w:rsidRDefault="007B0B32" w:rsidP="00F35CAF">
            <w:pPr>
              <w:pStyle w:val="IndicatorText"/>
              <w:framePr w:hSpace="0" w:wrap="auto" w:vAnchor="margin" w:hAnchor="text" w:yAlign="inline"/>
              <w:rPr>
                <w:color w:val="auto"/>
              </w:rPr>
            </w:pPr>
            <w:r w:rsidRPr="00CC61E5">
              <w:rPr>
                <w:color w:val="auto"/>
              </w:rPr>
              <w:t>Maternal mortality ratio (per 100 000 live births)</w:t>
            </w:r>
          </w:p>
        </w:tc>
      </w:tr>
      <w:tr w:rsidR="007B0B32" w:rsidRPr="00DE0966" w:rsidTr="00F35CAF">
        <w:trPr>
          <w:trHeight w:val="23"/>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Domain</w:t>
            </w:r>
          </w:p>
        </w:tc>
        <w:tc>
          <w:tcPr>
            <w:tcW w:w="7654" w:type="dxa"/>
            <w:shd w:val="clear" w:color="auto" w:fill="auto"/>
          </w:tcPr>
          <w:p w:rsidR="007B0B32" w:rsidRPr="00CC61E5" w:rsidRDefault="007B0B32" w:rsidP="00F35CAF">
            <w:pPr>
              <w:pStyle w:val="IndicatorText"/>
              <w:framePr w:hSpace="0" w:wrap="auto" w:vAnchor="margin" w:hAnchor="text" w:yAlign="inline"/>
              <w:rPr>
                <w:color w:val="auto"/>
              </w:rPr>
            </w:pPr>
            <w:r w:rsidRPr="00CC61E5">
              <w:rPr>
                <w:color w:val="auto"/>
              </w:rPr>
              <w:t>Health status</w:t>
            </w:r>
          </w:p>
        </w:tc>
      </w:tr>
      <w:tr w:rsidR="007B0B32" w:rsidRPr="00DE0966" w:rsidTr="00F35CAF">
        <w:trPr>
          <w:trHeight w:val="23"/>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7B0B32" w:rsidRPr="00CC61E5" w:rsidRDefault="007B0B32" w:rsidP="00F35CAF">
            <w:pPr>
              <w:pStyle w:val="IndicatorText"/>
              <w:framePr w:hSpace="0" w:wrap="auto" w:vAnchor="margin" w:hAnchor="text" w:yAlign="inline"/>
              <w:rPr>
                <w:color w:val="auto"/>
              </w:rPr>
            </w:pPr>
            <w:r>
              <w:rPr>
                <w:color w:val="auto"/>
              </w:rPr>
              <w:t xml:space="preserve">Reproductive, maternal, newborn, child and adolescent health </w:t>
            </w:r>
          </w:p>
        </w:tc>
      </w:tr>
      <w:tr w:rsidR="007B0B32" w:rsidRPr="00DE0966" w:rsidTr="00F35CAF">
        <w:trPr>
          <w:trHeight w:val="23"/>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Associated terms</w:t>
            </w:r>
          </w:p>
        </w:tc>
        <w:tc>
          <w:tcPr>
            <w:tcW w:w="7654" w:type="dxa"/>
            <w:shd w:val="clear" w:color="auto" w:fill="auto"/>
          </w:tcPr>
          <w:p w:rsidR="007B0B32" w:rsidRPr="00CC61E5" w:rsidRDefault="007B0B32" w:rsidP="00F35CAF">
            <w:pPr>
              <w:pStyle w:val="IndicatorText"/>
              <w:framePr w:hSpace="0" w:wrap="auto" w:vAnchor="margin" w:hAnchor="text" w:yAlign="inline"/>
              <w:rPr>
                <w:color w:val="auto"/>
              </w:rPr>
            </w:pPr>
            <w:r w:rsidRPr="00CC61E5">
              <w:rPr>
                <w:color w:val="auto"/>
              </w:rPr>
              <w:t>Mortality by cause</w:t>
            </w:r>
          </w:p>
        </w:tc>
      </w:tr>
      <w:tr w:rsidR="007B0B32" w:rsidRPr="00DE0966" w:rsidTr="00F35CAF">
        <w:trPr>
          <w:trHeight w:val="23"/>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Definition</w:t>
            </w:r>
          </w:p>
        </w:tc>
        <w:tc>
          <w:tcPr>
            <w:tcW w:w="7654" w:type="dxa"/>
            <w:shd w:val="clear" w:color="auto" w:fill="auto"/>
          </w:tcPr>
          <w:p w:rsidR="007B0B32" w:rsidRPr="00CC61E5" w:rsidRDefault="007B0B32" w:rsidP="00F35CAF">
            <w:pPr>
              <w:pStyle w:val="IndicatorText"/>
              <w:framePr w:hSpace="0" w:wrap="auto" w:vAnchor="margin" w:hAnchor="text" w:yAlign="inline"/>
              <w:rPr>
                <w:color w:val="auto"/>
              </w:rPr>
            </w:pPr>
            <w:r>
              <w:rPr>
                <w:color w:val="auto"/>
              </w:rPr>
              <w:t>T</w:t>
            </w:r>
            <w:r w:rsidRPr="00CC61E5">
              <w:rPr>
                <w:color w:val="auto"/>
              </w:rPr>
              <w:t>he annual number of female deaths from any cause related to or aggravated by pregnancy or its management (excluding accidental or incidental causes) during pregnancy and childbirth or within 42 days of terminatio</w:t>
            </w:r>
            <w:r>
              <w:rPr>
                <w:color w:val="auto"/>
              </w:rPr>
              <w:t>n</w:t>
            </w:r>
            <w:r w:rsidRPr="00CC61E5">
              <w:rPr>
                <w:color w:val="auto"/>
              </w:rPr>
              <w:t xml:space="preserve"> of pregnancy, irrespective of the duration and site of the pregnancy, </w:t>
            </w:r>
            <w:r>
              <w:rPr>
                <w:color w:val="auto"/>
              </w:rPr>
              <w:t xml:space="preserve">expressed </w:t>
            </w:r>
            <w:r w:rsidRPr="00CC61E5">
              <w:rPr>
                <w:color w:val="auto"/>
              </w:rPr>
              <w:t xml:space="preserve">per </w:t>
            </w:r>
            <w:r>
              <w:rPr>
                <w:color w:val="auto"/>
              </w:rPr>
              <w:t>100 000</w:t>
            </w:r>
            <w:r w:rsidRPr="00CC61E5">
              <w:rPr>
                <w:color w:val="auto"/>
              </w:rPr>
              <w:t xml:space="preserve"> live births, for a specified time period.</w:t>
            </w:r>
          </w:p>
        </w:tc>
      </w:tr>
      <w:tr w:rsidR="007B0B32" w:rsidRPr="00DE0966" w:rsidTr="00F35CAF">
        <w:trPr>
          <w:trHeight w:val="23"/>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Numerator</w:t>
            </w:r>
          </w:p>
        </w:tc>
        <w:tc>
          <w:tcPr>
            <w:tcW w:w="7654" w:type="dxa"/>
            <w:shd w:val="clear" w:color="auto" w:fill="auto"/>
          </w:tcPr>
          <w:p w:rsidR="007B0B32" w:rsidRPr="005652F4" w:rsidRDefault="007B0B32" w:rsidP="00F35CAF">
            <w:pPr>
              <w:pStyle w:val="IndicatorText"/>
              <w:framePr w:hSpace="0" w:wrap="auto" w:vAnchor="margin" w:hAnchor="text" w:yAlign="inline"/>
            </w:pPr>
            <w:r>
              <w:t>Number of maternal deaths.</w:t>
            </w:r>
          </w:p>
        </w:tc>
      </w:tr>
      <w:tr w:rsidR="007B0B32" w:rsidRPr="00DE0966" w:rsidTr="00F35CAF">
        <w:trPr>
          <w:trHeight w:val="62"/>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Denominator</w:t>
            </w:r>
          </w:p>
        </w:tc>
        <w:tc>
          <w:tcPr>
            <w:tcW w:w="7654" w:type="dxa"/>
            <w:shd w:val="clear" w:color="auto" w:fill="auto"/>
          </w:tcPr>
          <w:p w:rsidR="007B0B32" w:rsidRPr="005652F4" w:rsidRDefault="007B0B32" w:rsidP="00F35CAF">
            <w:pPr>
              <w:pStyle w:val="IndicatorText"/>
              <w:framePr w:hSpace="0" w:wrap="auto" w:vAnchor="margin" w:hAnchor="text" w:yAlign="inline"/>
            </w:pPr>
            <w:r>
              <w:t>Number of</w:t>
            </w:r>
            <w:r w:rsidRPr="005652F4">
              <w:t xml:space="preserve"> live births</w:t>
            </w:r>
            <w:r>
              <w:t>.</w:t>
            </w:r>
          </w:p>
        </w:tc>
      </w:tr>
      <w:tr w:rsidR="007B0B32" w:rsidRPr="00DE0966" w:rsidTr="00F35CAF">
        <w:trPr>
          <w:trHeight w:val="268"/>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Disaggregation/</w:t>
            </w:r>
            <w:r w:rsidRPr="00AB6CEA">
              <w:rPr>
                <w:rFonts w:eastAsia="Times New Roman" w:cstheme="minorHAnsi"/>
                <w:color w:val="003366"/>
                <w:sz w:val="16"/>
                <w:szCs w:val="16"/>
              </w:rPr>
              <w:br/>
              <w:t>additional dimension</w:t>
            </w:r>
          </w:p>
        </w:tc>
        <w:tc>
          <w:tcPr>
            <w:tcW w:w="7654" w:type="dxa"/>
            <w:shd w:val="clear" w:color="auto" w:fill="auto"/>
          </w:tcPr>
          <w:p w:rsidR="007B0B32" w:rsidRPr="005652F4" w:rsidRDefault="007B0B32" w:rsidP="00F35CAF">
            <w:pPr>
              <w:pStyle w:val="IndicatorText"/>
              <w:framePr w:hSpace="0" w:wrap="auto" w:vAnchor="margin" w:hAnchor="text" w:yAlign="inline"/>
            </w:pPr>
            <w:r>
              <w:t>A</w:t>
            </w:r>
            <w:r w:rsidRPr="005652F4">
              <w:t>ge</w:t>
            </w:r>
            <w:r>
              <w:t>,</w:t>
            </w:r>
            <w:r w:rsidRPr="005652F4">
              <w:t xml:space="preserve"> </w:t>
            </w:r>
            <w:r>
              <w:t>p</w:t>
            </w:r>
            <w:r w:rsidRPr="005652F4">
              <w:t>lace of residence</w:t>
            </w:r>
          </w:p>
        </w:tc>
      </w:tr>
      <w:tr w:rsidR="007B0B32" w:rsidRPr="00DE0966" w:rsidTr="00F35CAF">
        <w:trPr>
          <w:trHeight w:val="122"/>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Method of measurement</w:t>
            </w:r>
          </w:p>
        </w:tc>
        <w:tc>
          <w:tcPr>
            <w:tcW w:w="7654" w:type="dxa"/>
            <w:shd w:val="clear" w:color="auto" w:fill="auto"/>
          </w:tcPr>
          <w:p w:rsidR="007B0B32" w:rsidRDefault="007B0B32" w:rsidP="00F35CAF">
            <w:pPr>
              <w:pStyle w:val="IndicatorText"/>
              <w:framePr w:hSpace="0" w:wrap="auto" w:vAnchor="margin" w:hAnchor="text" w:yAlign="inline"/>
            </w:pPr>
            <w:r w:rsidRPr="00531B26">
              <w:t xml:space="preserve">The maternal mortality ratio can be calculated by dividing recorded (or estimated) maternal deaths by total recorded (or estimated) live births in the same period and multiplying by </w:t>
            </w:r>
            <w:r>
              <w:t>100 000</w:t>
            </w:r>
            <w:r w:rsidRPr="00531B26">
              <w:t>. Measurement requires information on pregnancy status, timing of death (during pregnancy, childbirth, or within 42 days of terminatio</w:t>
            </w:r>
            <w:r>
              <w:t>n of</w:t>
            </w:r>
            <w:r w:rsidRPr="00531B26">
              <w:t xml:space="preserve"> pregnancy), and cause of death.</w:t>
            </w:r>
          </w:p>
          <w:p w:rsidR="007B0B32" w:rsidRDefault="007B0B32" w:rsidP="00F35CAF">
            <w:pPr>
              <w:pStyle w:val="IndicatorText"/>
              <w:framePr w:hSpace="0" w:wrap="auto" w:vAnchor="margin" w:hAnchor="text" w:yAlign="inline"/>
            </w:pPr>
            <w:r w:rsidRPr="00531B26">
              <w:t>The maternal mortality ratio can be calculated directly from data collected through vital registration systems, household surveys or other sources. There are often data quality problems, particularly related to the underreporting and misclassificatio</w:t>
            </w:r>
            <w:r>
              <w:t>n of</w:t>
            </w:r>
            <w:r w:rsidRPr="00531B26">
              <w:t xml:space="preserve"> maternal deaths. Therefore, data are often adjusted in order to take</w:t>
            </w:r>
            <w:r>
              <w:t xml:space="preserve"> </w:t>
            </w:r>
            <w:r w:rsidRPr="00531B26">
              <w:t xml:space="preserve">these data quality issues </w:t>
            </w:r>
            <w:r>
              <w:t>into account.</w:t>
            </w:r>
          </w:p>
          <w:p w:rsidR="007B0B32" w:rsidRDefault="007B0B32" w:rsidP="00F35CAF">
            <w:pPr>
              <w:pStyle w:val="IndicatorText"/>
              <w:framePr w:hSpace="0" w:wrap="auto" w:vAnchor="margin" w:hAnchor="text" w:yAlign="inline"/>
            </w:pPr>
            <w:r w:rsidRPr="00531B26">
              <w:t>Because maternal mortality is a relatively rare event, large sample sizes are needed if household surveys are used to identify recent maternal deaths in the household (e.g. last year). This may still result in estimates with large confidence intervals, limiting the usefulness for cross-country or over</w:t>
            </w:r>
            <w:r>
              <w:t>-time comparisons.</w:t>
            </w:r>
          </w:p>
          <w:p w:rsidR="007B0B32" w:rsidRDefault="007B0B32" w:rsidP="00F35CAF">
            <w:pPr>
              <w:pStyle w:val="IndicatorText"/>
              <w:framePr w:hSpace="0" w:wrap="auto" w:vAnchor="margin" w:hAnchor="text" w:yAlign="inline"/>
            </w:pPr>
            <w:r w:rsidRPr="00531B26">
              <w:t xml:space="preserve">To reduce sample size requirements, the sisterhood method used in the </w:t>
            </w:r>
            <w:r>
              <w:t>DHS</w:t>
            </w:r>
            <w:r w:rsidRPr="00531B26">
              <w:t xml:space="preserve"> and </w:t>
            </w:r>
            <w:r>
              <w:t>multiple indicator surveys (</w:t>
            </w:r>
            <w:r w:rsidRPr="00531B26">
              <w:t>MICS4</w:t>
            </w:r>
            <w:r>
              <w:t>)</w:t>
            </w:r>
            <w:r w:rsidRPr="00531B26">
              <w:t xml:space="preserve"> measures maternal mortality by asking respondents about the survival of sisters. It should be noted that the sisterhood method results in pregnancy-related mortality: regardless of </w:t>
            </w:r>
            <w:r>
              <w:t xml:space="preserve">the </w:t>
            </w:r>
            <w:r w:rsidRPr="00531B26">
              <w:t>cause of death, all deaths occurring during pregnancy, birth or the six weeks following the terminatio</w:t>
            </w:r>
            <w:r>
              <w:t>n of</w:t>
            </w:r>
            <w:r w:rsidRPr="00531B26">
              <w:t xml:space="preserve"> the pregnancy are included in the numerator o</w:t>
            </w:r>
            <w:r>
              <w:t>f the maternal mortality ratio.</w:t>
            </w:r>
          </w:p>
          <w:p w:rsidR="007B0B32" w:rsidRDefault="007B0B32" w:rsidP="00F35CAF">
            <w:pPr>
              <w:pStyle w:val="IndicatorText"/>
              <w:framePr w:hSpace="0" w:wrap="auto" w:vAnchor="margin" w:hAnchor="text" w:yAlign="inline"/>
            </w:pPr>
            <w:r w:rsidRPr="00531B26">
              <w:t>Censuses have also included questi</w:t>
            </w:r>
            <w:r>
              <w:t>o</w:t>
            </w:r>
            <w:r w:rsidRPr="00531B26">
              <w:t>ns about maternal deaths with variable success.</w:t>
            </w:r>
          </w:p>
          <w:p w:rsidR="007B0B32" w:rsidRPr="00531B26" w:rsidRDefault="007B0B32" w:rsidP="00F35CAF">
            <w:pPr>
              <w:pStyle w:val="IndicatorText"/>
              <w:framePr w:hSpace="0" w:wrap="auto" w:vAnchor="margin" w:hAnchor="text" w:yAlign="inline"/>
            </w:pPr>
            <w:r w:rsidRPr="00531B26">
              <w:t>Reproductive Age Mortality Studies (RAMOS) is a special study that uses varied sources, depending on the context, to identify all deaths of wome</w:t>
            </w:r>
            <w:r>
              <w:t>n of</w:t>
            </w:r>
            <w:r w:rsidRPr="00531B26">
              <w:t xml:space="preserve"> reproductive age and ascertain which of these </w:t>
            </w:r>
            <w:r>
              <w:t xml:space="preserve">deaths </w:t>
            </w:r>
            <w:r w:rsidRPr="00531B26">
              <w:t>are maternal or pregnancy-related.</w:t>
            </w:r>
          </w:p>
        </w:tc>
      </w:tr>
      <w:tr w:rsidR="007B0B32" w:rsidRPr="00DE0966" w:rsidTr="00F35CAF">
        <w:trPr>
          <w:trHeight w:val="160"/>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Method of estimation</w:t>
            </w:r>
          </w:p>
        </w:tc>
        <w:tc>
          <w:tcPr>
            <w:tcW w:w="7654" w:type="dxa"/>
            <w:shd w:val="clear" w:color="auto" w:fill="auto"/>
          </w:tcPr>
          <w:p w:rsidR="007B0B32" w:rsidRDefault="007B0B32" w:rsidP="00F35CAF">
            <w:pPr>
              <w:pStyle w:val="IndicatorText"/>
              <w:framePr w:hSpace="0" w:wrap="auto" w:vAnchor="margin" w:hAnchor="text" w:yAlign="inline"/>
              <w:rPr>
                <w:color w:val="auto"/>
              </w:rPr>
            </w:pPr>
            <w:r w:rsidRPr="00D841B2">
              <w:rPr>
                <w:color w:val="auto"/>
              </w:rPr>
              <w:t>For facility data</w:t>
            </w:r>
            <w:r>
              <w:rPr>
                <w:color w:val="auto"/>
              </w:rPr>
              <w:t>-</w:t>
            </w:r>
            <w:r w:rsidRPr="00D841B2">
              <w:rPr>
                <w:color w:val="auto"/>
              </w:rPr>
              <w:t>based maternal mortality</w:t>
            </w:r>
            <w:r>
              <w:rPr>
                <w:color w:val="auto"/>
              </w:rPr>
              <w:t>,</w:t>
            </w:r>
            <w:r w:rsidRPr="00D841B2">
              <w:rPr>
                <w:color w:val="auto"/>
              </w:rPr>
              <w:t xml:space="preserve"> the denominator is estimated using population projections.</w:t>
            </w:r>
          </w:p>
          <w:p w:rsidR="007B0B32" w:rsidRDefault="007B0B32" w:rsidP="00F35CAF">
            <w:pPr>
              <w:pStyle w:val="IndicatorText"/>
              <w:framePr w:hSpace="0" w:wrap="auto" w:vAnchor="margin" w:hAnchor="text" w:yAlign="inline"/>
              <w:rPr>
                <w:color w:val="auto"/>
              </w:rPr>
            </w:pPr>
            <w:r w:rsidRPr="00D841B2">
              <w:rPr>
                <w:color w:val="auto"/>
              </w:rPr>
              <w:t xml:space="preserve">WHO, UNICEF, UNFPA, </w:t>
            </w:r>
            <w:r>
              <w:rPr>
                <w:color w:val="auto"/>
              </w:rPr>
              <w:t xml:space="preserve">the </w:t>
            </w:r>
            <w:r w:rsidRPr="00D841B2">
              <w:rPr>
                <w:color w:val="auto"/>
              </w:rPr>
              <w:t>U</w:t>
            </w:r>
            <w:r>
              <w:rPr>
                <w:color w:val="auto"/>
              </w:rPr>
              <w:t xml:space="preserve">nited </w:t>
            </w:r>
            <w:r w:rsidRPr="00D841B2">
              <w:rPr>
                <w:color w:val="auto"/>
              </w:rPr>
              <w:t>N</w:t>
            </w:r>
            <w:r>
              <w:rPr>
                <w:color w:val="auto"/>
              </w:rPr>
              <w:t>ations</w:t>
            </w:r>
            <w:r w:rsidRPr="00D841B2">
              <w:rPr>
                <w:color w:val="auto"/>
              </w:rPr>
              <w:t xml:space="preserve"> Population Division and The World Bank have developed a method to adjust existing data in order to take into account these data quality issues and ensure the comparability of different data sources. This method involves assessment of data for completeness and, where necessary, adjustment for underreporting and misclassificatio</w:t>
            </w:r>
            <w:r>
              <w:rPr>
                <w:color w:val="auto"/>
              </w:rPr>
              <w:t>n</w:t>
            </w:r>
            <w:r w:rsidRPr="00D841B2">
              <w:rPr>
                <w:color w:val="auto"/>
              </w:rPr>
              <w:t xml:space="preserve"> of deaths as well as development of estimates through statistical modelling for countries with no reliable national level data.</w:t>
            </w:r>
          </w:p>
          <w:p w:rsidR="007B0B32" w:rsidRDefault="007B0B32" w:rsidP="00F35CAF">
            <w:pPr>
              <w:pStyle w:val="IndicatorText"/>
              <w:framePr w:hSpace="0" w:wrap="auto" w:vAnchor="margin" w:hAnchor="text" w:yAlign="inline"/>
              <w:rPr>
                <w:color w:val="auto"/>
              </w:rPr>
            </w:pPr>
            <w:r w:rsidRPr="00CC61E5">
              <w:rPr>
                <w:color w:val="auto"/>
              </w:rPr>
              <w:t xml:space="preserve">Data on maternal mortality and other relevant variables are obtained through databases maintained by WHO, </w:t>
            </w:r>
            <w:r>
              <w:rPr>
                <w:color w:val="auto"/>
              </w:rPr>
              <w:t>the United Nations Population Division</w:t>
            </w:r>
            <w:r w:rsidRPr="00CC61E5">
              <w:rPr>
                <w:color w:val="auto"/>
              </w:rPr>
              <w:t xml:space="preserve">, UNICEF, and </w:t>
            </w:r>
            <w:r>
              <w:rPr>
                <w:color w:val="auto"/>
              </w:rPr>
              <w:t>The World Bank.</w:t>
            </w:r>
            <w:r w:rsidRPr="00CC61E5">
              <w:rPr>
                <w:color w:val="auto"/>
              </w:rPr>
              <w:t xml:space="preserve"> Data available from countries varies in terms of source and methods. Given the variability of the sources of data, different methods are used for each data source in order to arrive at country estimates that are comparable and permit regional and global a</w:t>
            </w:r>
            <w:r>
              <w:rPr>
                <w:color w:val="auto"/>
              </w:rPr>
              <w:t>ggregation.</w:t>
            </w:r>
          </w:p>
          <w:p w:rsidR="007B0B32" w:rsidRDefault="007B0B32" w:rsidP="00F35CAF">
            <w:pPr>
              <w:pStyle w:val="IndicatorText"/>
              <w:framePr w:hSpace="0" w:wrap="auto" w:vAnchor="margin" w:hAnchor="text" w:yAlign="inline"/>
              <w:rPr>
                <w:color w:val="auto"/>
              </w:rPr>
            </w:pPr>
            <w:r w:rsidRPr="00CC61E5">
              <w:rPr>
                <w:color w:val="auto"/>
              </w:rPr>
              <w:t>Currently, only about one third of all countries/territories have reliable data available and do not need additional estimations. For about half of the countries included in the estimation process, country-reported estimates of maternal mortality are adjusted for the purposes of comparability of the methodologies. For the remainder of countries/territories</w:t>
            </w:r>
            <w:r>
              <w:rPr>
                <w:color w:val="auto"/>
              </w:rPr>
              <w:t xml:space="preserve"> – </w:t>
            </w:r>
            <w:r w:rsidRPr="00CC61E5">
              <w:rPr>
                <w:color w:val="auto"/>
              </w:rPr>
              <w:t>those with no appropriate maternal mortality data --</w:t>
            </w:r>
            <w:r>
              <w:rPr>
                <w:color w:val="auto"/>
              </w:rPr>
              <w:t xml:space="preserve"> </w:t>
            </w:r>
            <w:r w:rsidRPr="00CC61E5">
              <w:rPr>
                <w:color w:val="auto"/>
              </w:rPr>
              <w:t xml:space="preserve">a statistical model is employed to predict maternal mortality levels. However, the calculated point estimates with this methodology might not represent the true levels of maternal mortality. It is advised to consider the estimates together with the reported </w:t>
            </w:r>
            <w:r w:rsidRPr="00CC61E5">
              <w:rPr>
                <w:color w:val="auto"/>
              </w:rPr>
              <w:lastRenderedPageBreak/>
              <w:t xml:space="preserve">uncertainty margins </w:t>
            </w:r>
            <w:r>
              <w:rPr>
                <w:color w:val="auto"/>
              </w:rPr>
              <w:t>within which</w:t>
            </w:r>
            <w:r w:rsidRPr="00CC61E5">
              <w:rPr>
                <w:color w:val="auto"/>
              </w:rPr>
              <w:t xml:space="preserve"> the true levels are </w:t>
            </w:r>
            <w:r>
              <w:rPr>
                <w:color w:val="auto"/>
              </w:rPr>
              <w:t>known</w:t>
            </w:r>
            <w:r w:rsidRPr="00CC61E5">
              <w:rPr>
                <w:color w:val="auto"/>
              </w:rPr>
              <w:t xml:space="preserve"> </w:t>
            </w:r>
            <w:r>
              <w:rPr>
                <w:color w:val="auto"/>
              </w:rPr>
              <w:t>to lie.</w:t>
            </w:r>
          </w:p>
          <w:p w:rsidR="007B0B32" w:rsidRPr="00283D89" w:rsidRDefault="007B0B32" w:rsidP="00F35CAF">
            <w:pPr>
              <w:pStyle w:val="IndicatorText"/>
              <w:framePr w:hSpace="0" w:wrap="auto" w:vAnchor="margin" w:hAnchor="text" w:yAlign="inline"/>
              <w:rPr>
                <w:color w:val="FF0000"/>
              </w:rPr>
            </w:pPr>
            <w:r w:rsidRPr="00CC61E5">
              <w:rPr>
                <w:color w:val="auto"/>
              </w:rPr>
              <w:t>Predominant type of statistics: predicted</w:t>
            </w:r>
            <w:r>
              <w:rPr>
                <w:color w:val="auto"/>
              </w:rPr>
              <w:t>.</w:t>
            </w:r>
          </w:p>
        </w:tc>
      </w:tr>
      <w:tr w:rsidR="007B0B32" w:rsidRPr="00DE0966" w:rsidTr="00F35CAF">
        <w:trPr>
          <w:trHeight w:val="224"/>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lastRenderedPageBreak/>
              <w:t>Measurement frequency</w:t>
            </w:r>
          </w:p>
        </w:tc>
        <w:tc>
          <w:tcPr>
            <w:tcW w:w="7654" w:type="dxa"/>
            <w:shd w:val="clear" w:color="auto" w:fill="auto"/>
          </w:tcPr>
          <w:p w:rsidR="007B0B32" w:rsidRPr="005652F4" w:rsidRDefault="007B0B32" w:rsidP="00F35CAF">
            <w:pPr>
              <w:pStyle w:val="IndicatorText"/>
              <w:framePr w:hSpace="0" w:wrap="auto" w:vAnchor="margin" w:hAnchor="text" w:yAlign="inline"/>
            </w:pPr>
            <w:r w:rsidRPr="00531B26">
              <w:t>For civil registration</w:t>
            </w:r>
            <w:r>
              <w:t>: annual. For other sources: every 5 years or more</w:t>
            </w:r>
          </w:p>
        </w:tc>
      </w:tr>
      <w:tr w:rsidR="007B0B32" w:rsidRPr="00DE0966" w:rsidTr="00F35CAF">
        <w:trPr>
          <w:trHeight w:val="159"/>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387AB0">
              <w:rPr>
                <w:rFonts w:eastAsia="Times New Roman" w:cstheme="minorHAnsi"/>
                <w:color w:val="003366"/>
                <w:sz w:val="16"/>
                <w:szCs w:val="16"/>
              </w:rPr>
              <w:t xml:space="preserve">Monitoring and evaluation </w:t>
            </w:r>
            <w:r w:rsidRPr="00AB6CEA">
              <w:rPr>
                <w:rFonts w:eastAsia="Times New Roman" w:cstheme="minorHAnsi"/>
                <w:color w:val="003366"/>
                <w:sz w:val="16"/>
                <w:szCs w:val="16"/>
              </w:rPr>
              <w:t>framework</w:t>
            </w:r>
          </w:p>
        </w:tc>
        <w:tc>
          <w:tcPr>
            <w:tcW w:w="7654" w:type="dxa"/>
            <w:shd w:val="clear" w:color="auto" w:fill="auto"/>
          </w:tcPr>
          <w:p w:rsidR="007B0B32" w:rsidRPr="005652F4" w:rsidRDefault="007B0B32" w:rsidP="00F35CAF">
            <w:pPr>
              <w:pStyle w:val="IndicatorText"/>
              <w:framePr w:hSpace="0" w:wrap="auto" w:vAnchor="margin" w:hAnchor="text" w:yAlign="inline"/>
            </w:pPr>
            <w:r w:rsidRPr="005652F4">
              <w:t>Impact</w:t>
            </w:r>
          </w:p>
        </w:tc>
      </w:tr>
      <w:tr w:rsidR="007B0B32" w:rsidRPr="00DE0966" w:rsidTr="00F35CAF">
        <w:trPr>
          <w:trHeight w:val="82"/>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Preferred data sources</w:t>
            </w:r>
          </w:p>
        </w:tc>
        <w:tc>
          <w:tcPr>
            <w:tcW w:w="7654" w:type="dxa"/>
            <w:shd w:val="clear" w:color="auto" w:fill="auto"/>
          </w:tcPr>
          <w:p w:rsidR="007B0B32" w:rsidRPr="00531B26" w:rsidRDefault="007B0B32" w:rsidP="00F35CAF">
            <w:pPr>
              <w:pStyle w:val="IndicatorText"/>
              <w:framePr w:hSpace="0" w:wrap="auto" w:vAnchor="margin" w:hAnchor="text" w:yAlign="inline"/>
            </w:pPr>
            <w:r w:rsidRPr="00531B26">
              <w:t>Civil registration with high coverage and medical certificatio</w:t>
            </w:r>
            <w:r>
              <w:t>n of</w:t>
            </w:r>
            <w:r w:rsidRPr="00531B26">
              <w:t xml:space="preserve"> cause of death and regular assessment of misreporting and underreporting</w:t>
            </w:r>
          </w:p>
        </w:tc>
      </w:tr>
      <w:tr w:rsidR="007B0B32" w:rsidRPr="00DE0966" w:rsidTr="00F35CAF">
        <w:trPr>
          <w:trHeight w:val="160"/>
        </w:trPr>
        <w:tc>
          <w:tcPr>
            <w:tcW w:w="2042" w:type="dxa"/>
            <w:tcBorders>
              <w:top w:val="nil"/>
              <w:bottom w:val="nil"/>
            </w:tcBorders>
            <w:shd w:val="clear" w:color="000000" w:fill="E6F0FA"/>
          </w:tcPr>
          <w:p w:rsidR="007B0B32" w:rsidRPr="00AB6CEA" w:rsidRDefault="007B0B32" w:rsidP="00F35CAF">
            <w:pPr>
              <w:spacing w:before="80" w:after="80"/>
              <w:rPr>
                <w:rFonts w:eastAsia="Times New Roman" w:cstheme="minorHAnsi"/>
                <w:color w:val="003366"/>
                <w:sz w:val="16"/>
                <w:szCs w:val="16"/>
              </w:rPr>
            </w:pPr>
            <w:r w:rsidRPr="00AB6CEA">
              <w:rPr>
                <w:rFonts w:eastAsia="Times New Roman" w:cstheme="minorHAnsi"/>
                <w:color w:val="003366"/>
                <w:sz w:val="16"/>
                <w:szCs w:val="16"/>
              </w:rPr>
              <w:t>Other possible data sources</w:t>
            </w:r>
          </w:p>
        </w:tc>
        <w:tc>
          <w:tcPr>
            <w:tcW w:w="7654" w:type="dxa"/>
            <w:shd w:val="clear" w:color="auto" w:fill="auto"/>
          </w:tcPr>
          <w:p w:rsidR="007B0B32" w:rsidRPr="00531B26" w:rsidRDefault="007B0B32" w:rsidP="00F35CAF">
            <w:pPr>
              <w:pStyle w:val="IndicatorText"/>
              <w:framePr w:hSpace="0" w:wrap="auto" w:vAnchor="margin" w:hAnchor="text" w:yAlign="inline"/>
              <w:rPr>
                <w:color w:val="FF0000"/>
              </w:rPr>
            </w:pPr>
            <w:r w:rsidRPr="003204E3">
              <w:t xml:space="preserve">Household surveys, </w:t>
            </w:r>
            <w:r>
              <w:t>p</w:t>
            </w:r>
            <w:r w:rsidRPr="003204E3">
              <w:t xml:space="preserve">opulation census, </w:t>
            </w:r>
            <w:r>
              <w:t>s</w:t>
            </w:r>
            <w:r w:rsidRPr="003204E3">
              <w:t xml:space="preserve">ample or sentinel registration systems, </w:t>
            </w:r>
            <w:r>
              <w:t>special studies</w:t>
            </w:r>
          </w:p>
        </w:tc>
      </w:tr>
      <w:tr w:rsidR="007B0B32" w:rsidRPr="003204E3" w:rsidTr="00F35CAF">
        <w:trPr>
          <w:trHeight w:val="160"/>
        </w:trPr>
        <w:tc>
          <w:tcPr>
            <w:tcW w:w="2042" w:type="dxa"/>
            <w:tcBorders>
              <w:top w:val="nil"/>
              <w:bottom w:val="single" w:sz="4" w:space="0" w:color="A3BBD5"/>
            </w:tcBorders>
            <w:shd w:val="clear" w:color="000000" w:fill="E6F0FA"/>
          </w:tcPr>
          <w:p w:rsidR="007B0B32" w:rsidRPr="00AB6CEA"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7B0B32" w:rsidRDefault="007B0B32" w:rsidP="00F35CAF">
            <w:pPr>
              <w:pStyle w:val="IndicatorText"/>
              <w:framePr w:hSpace="0" w:wrap="auto" w:vAnchor="margin" w:hAnchor="text" w:yAlign="inline"/>
              <w:rPr>
                <w:lang w:val="en-US"/>
              </w:rPr>
            </w:pPr>
            <w:r w:rsidRPr="00947411">
              <w:rPr>
                <w:lang w:val="en-US"/>
              </w:rPr>
              <w:t>Indicators for monitoring the Millennium Development Goals: definitions, rationale, concepts and sources. New York (NY): United Nations; 2012 (</w:t>
            </w:r>
            <w:r w:rsidRPr="0056160E">
              <w:rPr>
                <w:lang w:val="en-US"/>
              </w:rPr>
              <w:t>http://mdgs.un.org/unsd/mi/wiki/MainPage.ashx</w:t>
            </w:r>
            <w:r w:rsidRPr="00947411">
              <w:rPr>
                <w:lang w:val="en-US"/>
              </w:rPr>
              <w:t>, accessed 29 March 2015).</w:t>
            </w:r>
          </w:p>
          <w:p w:rsidR="007B0B32" w:rsidRPr="003204E3" w:rsidRDefault="007B0B32" w:rsidP="00F35CAF">
            <w:pPr>
              <w:pStyle w:val="IndicatorText"/>
              <w:framePr w:hSpace="0" w:wrap="auto" w:vAnchor="margin" w:hAnchor="text" w:yAlign="inline"/>
            </w:pPr>
            <w:r w:rsidRPr="00DF7AEE">
              <w:rPr>
                <w:lang w:val="en-US"/>
              </w:rPr>
              <w:t>WHO, UNICEF, UNFPA, The World Bank, United Nations Population Division. Trends in maternal mortality: 1990 to 2013. Geneva: World Health Organization; 2014 (</w:t>
            </w:r>
            <w:r w:rsidRPr="0056160E">
              <w:rPr>
                <w:lang w:val="en-US"/>
              </w:rPr>
              <w:t>http://www.who.int/reproductivehealth/publications/monitoring/maternal-mortality-2013/en/</w:t>
            </w:r>
            <w:r w:rsidRPr="00DF7AEE">
              <w:rPr>
                <w:lang w:val="en-US"/>
              </w:rPr>
              <w:t>, accessed 29 March 2015).</w:t>
            </w:r>
            <w:r w:rsidRPr="003204E3">
              <w:t xml:space="preserve"> </w:t>
            </w:r>
          </w:p>
          <w:p w:rsidR="007B0B32" w:rsidRPr="003204E3" w:rsidRDefault="007B0B32" w:rsidP="00F35CAF">
            <w:pPr>
              <w:pStyle w:val="IndicatorText"/>
              <w:framePr w:hSpace="0" w:wrap="auto" w:vAnchor="margin" w:hAnchor="text" w:yAlign="inline"/>
            </w:pPr>
            <w:r w:rsidRPr="00DF7AEE">
              <w:rPr>
                <w:lang w:val="en-US"/>
              </w:rPr>
              <w:t>World population prospects. New York (NY): United Nations; 2012 (</w:t>
            </w:r>
            <w:r w:rsidRPr="0056160E">
              <w:rPr>
                <w:lang w:val="en-US"/>
              </w:rPr>
              <w:t>http://esa.un.org/wpp/</w:t>
            </w:r>
            <w:r w:rsidRPr="00DF7AEE">
              <w:rPr>
                <w:lang w:val="en-US"/>
              </w:rPr>
              <w:t>, accessed 29 March 2015).</w:t>
            </w:r>
          </w:p>
        </w:tc>
      </w:tr>
    </w:tbl>
    <w:p w:rsidR="007B0B32" w:rsidRDefault="007B0B32" w:rsidP="007B0B32"/>
    <w:p w:rsidR="007B0B32" w:rsidRDefault="007B0B32" w:rsidP="007B0B32">
      <w:r>
        <w:br w:type="page"/>
      </w:r>
    </w:p>
    <w:p w:rsidR="00277801" w:rsidRPr="00277801" w:rsidRDefault="00277801" w:rsidP="00277801">
      <w:pPr>
        <w:pStyle w:val="Tablesub-heading"/>
        <w:shd w:val="clear" w:color="auto" w:fill="365F91" w:themeFill="accent1" w:themeFillShade="BF"/>
        <w:spacing w:after="0"/>
        <w:rPr>
          <w:color w:val="FFFFFF" w:themeColor="background1"/>
        </w:rPr>
      </w:pPr>
      <w:r w:rsidRPr="00277801">
        <w:rPr>
          <w:color w:val="FFFFFF" w:themeColor="background1"/>
        </w:rPr>
        <w:t xml:space="preserve">Target </w:t>
      </w:r>
      <w:r>
        <w:rPr>
          <w:color w:val="FFFFFF" w:themeColor="background1"/>
        </w:rPr>
        <w:t>3.1:</w:t>
      </w:r>
      <w:r>
        <w:rPr>
          <w:color w:val="FFFFFF" w:themeColor="background1"/>
        </w:rPr>
        <w:tab/>
      </w:r>
      <w:r w:rsidRPr="00277801">
        <w:rPr>
          <w:color w:val="FFFFFF" w:themeColor="background1"/>
        </w:rPr>
        <w:t xml:space="preserve">By 2030, reduce the global maternal mortality ratio to less </w:t>
      </w:r>
      <w:r>
        <w:rPr>
          <w:color w:val="FFFFFF" w:themeColor="background1"/>
        </w:rPr>
        <w:t>than 70 per 100,000 live births</w:t>
      </w:r>
    </w:p>
    <w:p w:rsidR="007B0B32" w:rsidRDefault="00277801" w:rsidP="007B0B32">
      <w:pPr>
        <w:pStyle w:val="Tablesub-heading"/>
      </w:pPr>
      <w:r>
        <w:t>Indicator 3.1.2:</w:t>
      </w:r>
      <w:r>
        <w:tab/>
      </w:r>
      <w:r w:rsidR="007B0B32" w:rsidRPr="007B0B32">
        <w:t>Skilled birth attendance</w:t>
      </w:r>
    </w:p>
    <w:tbl>
      <w:tblPr>
        <w:tblpPr w:leftFromText="180" w:rightFromText="180" w:vertAnchor="text" w:horzAnchor="margin" w:tblpX="-284" w:tblpY="86"/>
        <w:tblW w:w="10349"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127"/>
        <w:gridCol w:w="8222"/>
      </w:tblGrid>
      <w:tr w:rsidR="007B0B32" w:rsidRPr="00DE0966" w:rsidTr="00F35CAF">
        <w:trPr>
          <w:trHeight w:val="35"/>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Pr>
                <w:rFonts w:eastAsia="Times New Roman" w:cstheme="minorHAnsi"/>
                <w:color w:val="003366"/>
                <w:sz w:val="16"/>
                <w:szCs w:val="16"/>
              </w:rPr>
              <w:t>Abbreviated name</w:t>
            </w:r>
          </w:p>
        </w:tc>
        <w:tc>
          <w:tcPr>
            <w:tcW w:w="8222" w:type="dxa"/>
            <w:shd w:val="clear" w:color="auto" w:fill="auto"/>
            <w:vAlign w:val="center"/>
          </w:tcPr>
          <w:p w:rsidR="007B0B32" w:rsidRPr="003A44C7" w:rsidRDefault="007B0B32" w:rsidP="00F35CAF">
            <w:pPr>
              <w:pStyle w:val="IndicatorName"/>
              <w:framePr w:hSpace="0" w:wrap="auto" w:vAnchor="margin" w:hAnchor="text" w:yAlign="inline"/>
              <w:rPr>
                <w:color w:val="auto"/>
              </w:rPr>
            </w:pPr>
            <w:bookmarkStart w:id="2" w:name="_Toc418774262"/>
            <w:r w:rsidRPr="00AA353B">
              <w:t>Births atten</w:t>
            </w:r>
            <w:r>
              <w:t>ded by skilled health personnel</w:t>
            </w:r>
            <w:bookmarkEnd w:id="2"/>
          </w:p>
        </w:tc>
      </w:tr>
      <w:tr w:rsidR="007B0B32" w:rsidRPr="00DE0966" w:rsidTr="00F35CAF">
        <w:trPr>
          <w:trHeight w:val="35"/>
        </w:trPr>
        <w:tc>
          <w:tcPr>
            <w:tcW w:w="2127" w:type="dxa"/>
            <w:tcBorders>
              <w:top w:val="nil"/>
              <w:bottom w:val="nil"/>
            </w:tcBorders>
            <w:shd w:val="clear" w:color="000000" w:fill="E6F0FA"/>
            <w:hideMark/>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Indicator name</w:t>
            </w:r>
          </w:p>
        </w:tc>
        <w:tc>
          <w:tcPr>
            <w:tcW w:w="8222" w:type="dxa"/>
            <w:shd w:val="clear" w:color="auto" w:fill="auto"/>
          </w:tcPr>
          <w:p w:rsidR="007B0B32" w:rsidRPr="003A44C7" w:rsidRDefault="007B0B32" w:rsidP="00F35CAF">
            <w:pPr>
              <w:pStyle w:val="IndicatorText"/>
              <w:framePr w:hSpace="0" w:wrap="auto" w:vAnchor="margin" w:hAnchor="text" w:yAlign="inline"/>
              <w:spacing w:before="40" w:after="40"/>
              <w:rPr>
                <w:color w:val="auto"/>
              </w:rPr>
            </w:pPr>
            <w:r w:rsidRPr="003A44C7">
              <w:rPr>
                <w:color w:val="auto"/>
              </w:rPr>
              <w:t xml:space="preserve">Births attended </w:t>
            </w:r>
            <w:r>
              <w:rPr>
                <w:color w:val="auto"/>
              </w:rPr>
              <w:t>by skilled health personnel (%)</w:t>
            </w:r>
          </w:p>
        </w:tc>
      </w:tr>
      <w:tr w:rsidR="007B0B32" w:rsidRPr="00DE0966" w:rsidTr="00F35CAF">
        <w:trPr>
          <w:trHeight w:val="23"/>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Domain</w:t>
            </w:r>
          </w:p>
        </w:tc>
        <w:tc>
          <w:tcPr>
            <w:tcW w:w="8222" w:type="dxa"/>
            <w:shd w:val="clear" w:color="auto" w:fill="auto"/>
          </w:tcPr>
          <w:p w:rsidR="007B0B32" w:rsidRPr="003A44C7" w:rsidRDefault="007B0B32" w:rsidP="00F35CAF">
            <w:pPr>
              <w:pStyle w:val="IndicatorText"/>
              <w:framePr w:hSpace="0" w:wrap="auto" w:vAnchor="margin" w:hAnchor="text" w:yAlign="inline"/>
              <w:spacing w:before="40" w:after="40"/>
              <w:rPr>
                <w:color w:val="auto"/>
              </w:rPr>
            </w:pPr>
            <w:r w:rsidRPr="003A44C7">
              <w:rPr>
                <w:color w:val="auto"/>
              </w:rPr>
              <w:t>Service coverage</w:t>
            </w:r>
          </w:p>
        </w:tc>
      </w:tr>
      <w:tr w:rsidR="007B0B32" w:rsidRPr="00DE0966" w:rsidTr="00F35CAF">
        <w:trPr>
          <w:trHeight w:val="23"/>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Pr>
                <w:rFonts w:eastAsia="Times New Roman" w:cstheme="minorHAnsi"/>
                <w:color w:val="003366"/>
                <w:sz w:val="16"/>
                <w:szCs w:val="16"/>
              </w:rPr>
              <w:t>Subdomain</w:t>
            </w:r>
          </w:p>
        </w:tc>
        <w:tc>
          <w:tcPr>
            <w:tcW w:w="8222" w:type="dxa"/>
            <w:shd w:val="clear" w:color="auto" w:fill="auto"/>
          </w:tcPr>
          <w:p w:rsidR="007B0B32" w:rsidRPr="003A44C7" w:rsidRDefault="007B0B32" w:rsidP="00F35CAF">
            <w:pPr>
              <w:pStyle w:val="IndicatorText"/>
              <w:framePr w:hSpace="0" w:wrap="auto" w:vAnchor="margin" w:hAnchor="text" w:yAlign="inline"/>
              <w:spacing w:before="40" w:after="40"/>
              <w:rPr>
                <w:color w:val="auto"/>
              </w:rPr>
            </w:pPr>
            <w:r w:rsidRPr="002B29F1">
              <w:rPr>
                <w:color w:val="auto"/>
              </w:rPr>
              <w:t>Reproductive, maternal, newborn, child and adolescent health</w:t>
            </w:r>
          </w:p>
        </w:tc>
      </w:tr>
      <w:tr w:rsidR="007B0B32" w:rsidRPr="00DE0966" w:rsidTr="00F35CAF">
        <w:trPr>
          <w:trHeight w:val="23"/>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Associated terms</w:t>
            </w:r>
          </w:p>
        </w:tc>
        <w:tc>
          <w:tcPr>
            <w:tcW w:w="8222" w:type="dxa"/>
            <w:shd w:val="clear" w:color="auto" w:fill="auto"/>
          </w:tcPr>
          <w:p w:rsidR="007B0B32" w:rsidRPr="003A44C7" w:rsidRDefault="007B0B32" w:rsidP="00F35CAF">
            <w:pPr>
              <w:pStyle w:val="IndicatorText"/>
              <w:framePr w:hSpace="0" w:wrap="auto" w:vAnchor="margin" w:hAnchor="text" w:yAlign="inline"/>
              <w:spacing w:before="40" w:after="40"/>
              <w:rPr>
                <w:color w:val="auto"/>
              </w:rPr>
            </w:pPr>
            <w:r w:rsidRPr="002B29F1">
              <w:rPr>
                <w:color w:val="auto"/>
              </w:rPr>
              <w:t>Reproductive, maternal, newb</w:t>
            </w:r>
            <w:r>
              <w:rPr>
                <w:color w:val="auto"/>
              </w:rPr>
              <w:t>orn, child and adolescent</w:t>
            </w:r>
          </w:p>
        </w:tc>
      </w:tr>
      <w:tr w:rsidR="007B0B32" w:rsidRPr="00DE0966" w:rsidTr="00F35CAF">
        <w:trPr>
          <w:trHeight w:val="23"/>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Definition</w:t>
            </w:r>
          </w:p>
        </w:tc>
        <w:tc>
          <w:tcPr>
            <w:tcW w:w="8222" w:type="dxa"/>
            <w:shd w:val="clear" w:color="auto" w:fill="auto"/>
          </w:tcPr>
          <w:p w:rsidR="007B0B32" w:rsidRPr="003A44C7" w:rsidRDefault="007B0B32" w:rsidP="00F35CAF">
            <w:pPr>
              <w:pStyle w:val="IndicatorText"/>
              <w:framePr w:hSpace="0" w:wrap="auto" w:vAnchor="margin" w:hAnchor="text" w:yAlign="inline"/>
              <w:spacing w:before="40" w:after="40"/>
              <w:rPr>
                <w:color w:val="auto"/>
              </w:rPr>
            </w:pPr>
            <w:r w:rsidRPr="003A44C7">
              <w:rPr>
                <w:color w:val="auto"/>
              </w:rPr>
              <w:t>Percentage of live births attended by skilled health personnel during a specified time period.</w:t>
            </w:r>
          </w:p>
        </w:tc>
      </w:tr>
      <w:tr w:rsidR="007B0B32" w:rsidRPr="00DE0966" w:rsidTr="00F35CAF">
        <w:trPr>
          <w:trHeight w:val="23"/>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Numerator</w:t>
            </w:r>
          </w:p>
        </w:tc>
        <w:tc>
          <w:tcPr>
            <w:tcW w:w="8222" w:type="dxa"/>
            <w:shd w:val="clear" w:color="auto" w:fill="auto"/>
          </w:tcPr>
          <w:p w:rsidR="007B0B32" w:rsidRPr="003A44C7" w:rsidRDefault="007B0B32" w:rsidP="00F35CAF">
            <w:pPr>
              <w:pStyle w:val="IndicatorText"/>
              <w:framePr w:hSpace="0" w:wrap="auto" w:vAnchor="margin" w:hAnchor="text" w:yAlign="inline"/>
              <w:spacing w:before="40" w:after="40"/>
              <w:rPr>
                <w:color w:val="auto"/>
              </w:rPr>
            </w:pPr>
            <w:r>
              <w:rPr>
                <w:color w:val="auto"/>
              </w:rPr>
              <w:t>N</w:t>
            </w:r>
            <w:r w:rsidRPr="003A44C7">
              <w:rPr>
                <w:color w:val="auto"/>
              </w:rPr>
              <w:t>umber of births attended by skilled health personnel (doctors, nurses or midwives) trained in providing life</w:t>
            </w:r>
            <w:r>
              <w:rPr>
                <w:color w:val="auto"/>
              </w:rPr>
              <w:t>-</w:t>
            </w:r>
            <w:r w:rsidRPr="003A44C7">
              <w:rPr>
                <w:color w:val="auto"/>
              </w:rPr>
              <w:t>saving obstetric care, including giving the necessary supervision, care and advice to women during pregnancy, childbirth and the postpartum period</w:t>
            </w:r>
            <w:r>
              <w:rPr>
                <w:color w:val="auto"/>
              </w:rPr>
              <w:t>,</w:t>
            </w:r>
            <w:r w:rsidRPr="003A44C7">
              <w:rPr>
                <w:color w:val="auto"/>
              </w:rPr>
              <w:t xml:space="preserve"> to conduct deliveries on their own</w:t>
            </w:r>
            <w:r>
              <w:rPr>
                <w:color w:val="auto"/>
              </w:rPr>
              <w:t>,</w:t>
            </w:r>
            <w:r w:rsidRPr="003A44C7">
              <w:rPr>
                <w:color w:val="auto"/>
              </w:rPr>
              <w:t xml:space="preserve"> and to care for newborns.</w:t>
            </w:r>
          </w:p>
        </w:tc>
      </w:tr>
      <w:tr w:rsidR="007B0B32" w:rsidRPr="00DE0966" w:rsidTr="00F35CAF">
        <w:trPr>
          <w:trHeight w:val="62"/>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Denominator</w:t>
            </w:r>
          </w:p>
        </w:tc>
        <w:tc>
          <w:tcPr>
            <w:tcW w:w="8222" w:type="dxa"/>
            <w:shd w:val="clear" w:color="auto" w:fill="auto"/>
          </w:tcPr>
          <w:p w:rsidR="007B0B32" w:rsidRPr="003A44C7" w:rsidRDefault="007B0B32" w:rsidP="00F35CAF">
            <w:pPr>
              <w:pStyle w:val="IndicatorText"/>
              <w:framePr w:hSpace="0" w:wrap="auto" w:vAnchor="margin" w:hAnchor="text" w:yAlign="inline"/>
              <w:spacing w:before="40" w:after="40"/>
              <w:rPr>
                <w:color w:val="auto"/>
              </w:rPr>
            </w:pPr>
            <w:r w:rsidRPr="003A44C7">
              <w:rPr>
                <w:color w:val="auto"/>
              </w:rPr>
              <w:t>The total number of live births in the same period.</w:t>
            </w:r>
          </w:p>
        </w:tc>
      </w:tr>
      <w:tr w:rsidR="007B0B32" w:rsidRPr="00DE0966" w:rsidTr="00F35CAF">
        <w:trPr>
          <w:trHeight w:val="268"/>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Disaggregation/</w:t>
            </w:r>
            <w:r w:rsidRPr="003A44C7">
              <w:rPr>
                <w:rFonts w:eastAsia="Times New Roman" w:cstheme="minorHAnsi"/>
                <w:color w:val="003366"/>
                <w:sz w:val="16"/>
                <w:szCs w:val="16"/>
              </w:rPr>
              <w:br/>
              <w:t>additional dimension</w:t>
            </w:r>
          </w:p>
        </w:tc>
        <w:tc>
          <w:tcPr>
            <w:tcW w:w="8222" w:type="dxa"/>
            <w:shd w:val="clear" w:color="auto" w:fill="auto"/>
          </w:tcPr>
          <w:p w:rsidR="007B0B32" w:rsidRDefault="007B0B32" w:rsidP="00F35CAF">
            <w:pPr>
              <w:pStyle w:val="IndicatorText"/>
              <w:framePr w:hSpace="0" w:wrap="auto" w:vAnchor="margin" w:hAnchor="text" w:yAlign="inline"/>
              <w:spacing w:before="40" w:after="40"/>
              <w:rPr>
                <w:color w:val="auto"/>
              </w:rPr>
            </w:pPr>
            <w:r w:rsidRPr="003A44C7">
              <w:rPr>
                <w:color w:val="auto"/>
              </w:rPr>
              <w:t>Age</w:t>
            </w:r>
            <w:r>
              <w:rPr>
                <w:color w:val="auto"/>
              </w:rPr>
              <w:t>,</w:t>
            </w:r>
            <w:r w:rsidRPr="003A44C7">
              <w:rPr>
                <w:color w:val="auto"/>
              </w:rPr>
              <w:t xml:space="preserve"> parity, </w:t>
            </w:r>
            <w:r>
              <w:rPr>
                <w:color w:val="auto"/>
              </w:rPr>
              <w:t>p</w:t>
            </w:r>
            <w:r w:rsidRPr="003A44C7">
              <w:rPr>
                <w:color w:val="auto"/>
              </w:rPr>
              <w:t xml:space="preserve">lace of residence, </w:t>
            </w:r>
            <w:r>
              <w:rPr>
                <w:color w:val="auto"/>
              </w:rPr>
              <w:t>s</w:t>
            </w:r>
            <w:r w:rsidRPr="003A44C7">
              <w:rPr>
                <w:color w:val="auto"/>
              </w:rPr>
              <w:t xml:space="preserve">ocioeconomic status, </w:t>
            </w:r>
            <w:r>
              <w:rPr>
                <w:color w:val="auto"/>
              </w:rPr>
              <w:t>t</w:t>
            </w:r>
            <w:r w:rsidRPr="003A44C7">
              <w:rPr>
                <w:color w:val="auto"/>
              </w:rPr>
              <w:t>ype of provider</w:t>
            </w:r>
          </w:p>
          <w:p w:rsidR="007B0B32" w:rsidRPr="00CE7399" w:rsidRDefault="007B0B32" w:rsidP="00F35CAF">
            <w:pPr>
              <w:pStyle w:val="IndicatorText"/>
              <w:framePr w:hSpace="0" w:wrap="auto" w:vAnchor="margin" w:hAnchor="text" w:yAlign="inline"/>
              <w:spacing w:before="40" w:after="40"/>
              <w:rPr>
                <w:i/>
                <w:iCs/>
                <w:color w:val="auto"/>
              </w:rPr>
            </w:pPr>
            <w:r w:rsidRPr="00CE7399">
              <w:rPr>
                <w:i/>
                <w:iCs/>
                <w:color w:val="auto"/>
              </w:rPr>
              <w:t>Also: Institutional delivery coverage (women giving birth in a health institution)</w:t>
            </w:r>
            <w:r>
              <w:rPr>
                <w:i/>
                <w:iCs/>
                <w:color w:val="auto"/>
              </w:rPr>
              <w:t xml:space="preserve"> among all births in the population</w:t>
            </w:r>
          </w:p>
        </w:tc>
      </w:tr>
      <w:tr w:rsidR="007B0B32" w:rsidRPr="00DE0966" w:rsidTr="00F35CAF">
        <w:trPr>
          <w:trHeight w:val="122"/>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Method of measurement</w:t>
            </w:r>
          </w:p>
        </w:tc>
        <w:tc>
          <w:tcPr>
            <w:tcW w:w="8222" w:type="dxa"/>
            <w:shd w:val="clear" w:color="auto" w:fill="auto"/>
          </w:tcPr>
          <w:p w:rsidR="007B0B32" w:rsidRDefault="007B0B32" w:rsidP="00F35CAF">
            <w:pPr>
              <w:pStyle w:val="IndicatorText"/>
              <w:framePr w:hSpace="0" w:wrap="auto" w:vAnchor="margin" w:hAnchor="text" w:yAlign="inline"/>
              <w:spacing w:before="40" w:after="40"/>
              <w:rPr>
                <w:color w:val="auto"/>
              </w:rPr>
            </w:pPr>
            <w:r w:rsidRPr="003A44C7">
              <w:rPr>
                <w:color w:val="auto"/>
              </w:rPr>
              <w:t>Definition of skilled birth attendant varies between countries.</w:t>
            </w:r>
            <w:r>
              <w:rPr>
                <w:color w:val="auto"/>
              </w:rPr>
              <w:t xml:space="preserve"> </w:t>
            </w:r>
            <w:r w:rsidRPr="003A44C7">
              <w:rPr>
                <w:color w:val="auto"/>
              </w:rPr>
              <w:t xml:space="preserve">The percentage of births attended by skilled health personnel is calculated as the number of births attended by skilled health personnel (doctors, nurses or midwives) expressed as </w:t>
            </w:r>
            <w:r>
              <w:rPr>
                <w:color w:val="auto"/>
              </w:rPr>
              <w:t>a percentage of the t</w:t>
            </w:r>
            <w:r w:rsidRPr="003A44C7">
              <w:rPr>
                <w:color w:val="auto"/>
              </w:rPr>
              <w:t>otal number of births in the same period.</w:t>
            </w:r>
            <w:r>
              <w:rPr>
                <w:color w:val="auto"/>
              </w:rPr>
              <w:t xml:space="preserve"> </w:t>
            </w:r>
            <w:r w:rsidRPr="003A44C7">
              <w:rPr>
                <w:color w:val="auto"/>
              </w:rPr>
              <w:t>Births attended by skilled health personnel = (</w:t>
            </w:r>
            <w:r>
              <w:rPr>
                <w:color w:val="auto"/>
              </w:rPr>
              <w:t>n</w:t>
            </w:r>
            <w:r w:rsidRPr="003A44C7">
              <w:rPr>
                <w:color w:val="auto"/>
              </w:rPr>
              <w:t>umber of births attended by skilled health personne</w:t>
            </w:r>
            <w:r>
              <w:rPr>
                <w:color w:val="auto"/>
              </w:rPr>
              <w:t>l)</w:t>
            </w:r>
            <w:r w:rsidRPr="003A44C7">
              <w:rPr>
                <w:color w:val="auto"/>
              </w:rPr>
              <w:t>/</w:t>
            </w:r>
            <w:r>
              <w:rPr>
                <w:color w:val="auto"/>
              </w:rPr>
              <w:t>(t</w:t>
            </w:r>
            <w:r w:rsidRPr="003A44C7">
              <w:rPr>
                <w:color w:val="auto"/>
              </w:rPr>
              <w:t>otal number of live births) x 100</w:t>
            </w:r>
            <w:r>
              <w:rPr>
                <w:color w:val="auto"/>
              </w:rPr>
              <w:t>.</w:t>
            </w:r>
          </w:p>
          <w:p w:rsidR="007B0B32" w:rsidRDefault="007B0B32" w:rsidP="00F35CAF">
            <w:pPr>
              <w:pStyle w:val="IndicatorText"/>
              <w:framePr w:hSpace="0" w:wrap="auto" w:vAnchor="margin" w:hAnchor="text" w:yAlign="inline"/>
              <w:spacing w:before="40" w:after="40"/>
              <w:rPr>
                <w:color w:val="auto"/>
              </w:rPr>
            </w:pPr>
            <w:r w:rsidRPr="003A44C7">
              <w:rPr>
                <w:color w:val="auto"/>
              </w:rPr>
              <w:t xml:space="preserve">In household surveys, such as </w:t>
            </w:r>
            <w:r>
              <w:rPr>
                <w:color w:val="auto"/>
              </w:rPr>
              <w:t>DHS</w:t>
            </w:r>
            <w:r w:rsidRPr="003A44C7">
              <w:rPr>
                <w:color w:val="auto"/>
              </w:rPr>
              <w:t xml:space="preserve">, </w:t>
            </w:r>
            <w:r>
              <w:rPr>
                <w:color w:val="auto"/>
              </w:rPr>
              <w:t>MICS and RHS</w:t>
            </w:r>
            <w:r w:rsidRPr="003A44C7">
              <w:rPr>
                <w:color w:val="auto"/>
              </w:rPr>
              <w:t>, the respondent is asked about each live birth and who helped</w:t>
            </w:r>
            <w:r>
              <w:rPr>
                <w:color w:val="auto"/>
              </w:rPr>
              <w:t xml:space="preserve"> d</w:t>
            </w:r>
            <w:r w:rsidRPr="003A44C7">
              <w:rPr>
                <w:color w:val="auto"/>
              </w:rPr>
              <w:t>uring delivery for a period up to fi</w:t>
            </w:r>
            <w:r>
              <w:rPr>
                <w:color w:val="auto"/>
              </w:rPr>
              <w:t xml:space="preserve">ve years before the interview. </w:t>
            </w:r>
          </w:p>
          <w:p w:rsidR="007B0B32" w:rsidRPr="003A44C7" w:rsidRDefault="007B0B32" w:rsidP="00F35CAF">
            <w:pPr>
              <w:pStyle w:val="IndicatorText"/>
              <w:framePr w:hSpace="0" w:wrap="auto" w:vAnchor="margin" w:hAnchor="text" w:yAlign="inline"/>
              <w:spacing w:before="40" w:after="40"/>
              <w:rPr>
                <w:color w:val="auto"/>
              </w:rPr>
            </w:pPr>
            <w:r w:rsidRPr="003A44C7">
              <w:rPr>
                <w:color w:val="auto"/>
              </w:rPr>
              <w:t>Service/facility records could be used where a high proportion of births occur in health facilities and</w:t>
            </w:r>
            <w:r>
              <w:rPr>
                <w:color w:val="auto"/>
              </w:rPr>
              <w:t xml:space="preserve"> are</w:t>
            </w:r>
            <w:r w:rsidRPr="003A44C7">
              <w:rPr>
                <w:color w:val="auto"/>
              </w:rPr>
              <w:t xml:space="preserve"> therefore recorded.</w:t>
            </w:r>
          </w:p>
        </w:tc>
      </w:tr>
      <w:tr w:rsidR="007B0B32" w:rsidRPr="00DE0966" w:rsidTr="00F35CAF">
        <w:trPr>
          <w:trHeight w:val="160"/>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Method of estimation</w:t>
            </w:r>
          </w:p>
        </w:tc>
        <w:tc>
          <w:tcPr>
            <w:tcW w:w="8222" w:type="dxa"/>
            <w:shd w:val="clear" w:color="auto" w:fill="auto"/>
          </w:tcPr>
          <w:p w:rsidR="007B0B32" w:rsidRDefault="007B0B32" w:rsidP="00F35CAF">
            <w:pPr>
              <w:pStyle w:val="IndicatorText"/>
              <w:framePr w:hSpace="0" w:wrap="auto" w:vAnchor="margin" w:hAnchor="text" w:yAlign="inline"/>
              <w:spacing w:before="40" w:after="40"/>
              <w:rPr>
                <w:color w:val="auto"/>
              </w:rPr>
            </w:pPr>
            <w:r w:rsidRPr="00510C49">
              <w:rPr>
                <w:color w:val="auto"/>
              </w:rPr>
              <w:t xml:space="preserve">Data for global monitoring are reported by UNICEF and WHO. These agencies obtain the data </w:t>
            </w:r>
            <w:r w:rsidRPr="00510C49">
              <w:rPr>
                <w:color w:val="auto"/>
              </w:rPr>
              <w:sym w:font="Symbol" w:char="F02D"/>
            </w:r>
            <w:r w:rsidRPr="00510C49">
              <w:rPr>
                <w:color w:val="auto"/>
              </w:rPr>
              <w:t xml:space="preserve"> both survey and registry data – from national sources</w:t>
            </w:r>
            <w:r>
              <w:rPr>
                <w:color w:val="auto"/>
              </w:rPr>
              <w:t>.</w:t>
            </w:r>
            <w:r w:rsidRPr="00510C49">
              <w:rPr>
                <w:color w:val="auto"/>
              </w:rPr>
              <w:t xml:space="preserve"> Before data can be included in the global databases, UNICEF and WHO undertake a process of data verification that includes correspondence with field offices to clarify any questions.</w:t>
            </w:r>
          </w:p>
          <w:p w:rsidR="007B0B32" w:rsidRPr="00510C49" w:rsidRDefault="007B0B32" w:rsidP="00F35CAF">
            <w:pPr>
              <w:pStyle w:val="IndicatorText"/>
              <w:framePr w:hSpace="0" w:wrap="auto" w:vAnchor="margin" w:hAnchor="text" w:yAlign="inline"/>
              <w:spacing w:before="40" w:after="40"/>
              <w:rPr>
                <w:color w:val="auto"/>
              </w:rPr>
            </w:pPr>
            <w:r w:rsidRPr="00510C49">
              <w:rPr>
                <w:color w:val="auto"/>
              </w:rPr>
              <w:t xml:space="preserve">In terms of survey data, some survey reports may present a total percentage of births attended by a type of provider that does not conform to the MDG definition (e.g. total includes providers who are not considered skilled, such as community health workers). In this case, the percentage delivered by a physician, nurse or midwife are totalled and entered into the global database as the MDG estimate. </w:t>
            </w:r>
          </w:p>
          <w:p w:rsidR="007B0B32" w:rsidRPr="00510C49" w:rsidRDefault="007B0B32" w:rsidP="00F35CAF">
            <w:pPr>
              <w:pStyle w:val="IndicatorText"/>
              <w:framePr w:hSpace="0" w:wrap="auto" w:vAnchor="margin" w:hAnchor="text" w:yAlign="inline"/>
              <w:spacing w:before="40" w:after="40"/>
              <w:rPr>
                <w:color w:val="auto"/>
              </w:rPr>
            </w:pPr>
            <w:r w:rsidRPr="00510C49">
              <w:rPr>
                <w:color w:val="auto"/>
              </w:rPr>
              <w:t>Predominant type of statistics: adjusted.</w:t>
            </w:r>
          </w:p>
        </w:tc>
      </w:tr>
      <w:tr w:rsidR="007B0B32" w:rsidRPr="00DE0966" w:rsidTr="00F35CAF">
        <w:trPr>
          <w:trHeight w:val="224"/>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Measurement frequency</w:t>
            </w:r>
          </w:p>
        </w:tc>
        <w:tc>
          <w:tcPr>
            <w:tcW w:w="8222" w:type="dxa"/>
            <w:shd w:val="clear" w:color="auto" w:fill="auto"/>
          </w:tcPr>
          <w:p w:rsidR="007B0B32" w:rsidRPr="00510C49" w:rsidRDefault="007B0B32" w:rsidP="00F35CAF">
            <w:pPr>
              <w:pStyle w:val="IndicatorText"/>
              <w:framePr w:hSpace="0" w:wrap="auto" w:vAnchor="margin" w:hAnchor="text" w:yAlign="inline"/>
              <w:spacing w:before="40" w:after="40"/>
              <w:rPr>
                <w:color w:val="auto"/>
              </w:rPr>
            </w:pPr>
            <w:r w:rsidRPr="00510C49">
              <w:rPr>
                <w:color w:val="auto"/>
              </w:rPr>
              <w:t xml:space="preserve">Biennial </w:t>
            </w:r>
          </w:p>
        </w:tc>
      </w:tr>
      <w:tr w:rsidR="007B0B32" w:rsidRPr="00DE0966" w:rsidTr="00F35CAF">
        <w:trPr>
          <w:trHeight w:val="159"/>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634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3A44C7">
              <w:rPr>
                <w:rFonts w:eastAsia="Times New Roman" w:cstheme="minorHAnsi"/>
                <w:color w:val="003366"/>
                <w:sz w:val="16"/>
                <w:szCs w:val="16"/>
              </w:rPr>
              <w:t>framework</w:t>
            </w:r>
          </w:p>
        </w:tc>
        <w:tc>
          <w:tcPr>
            <w:tcW w:w="8222" w:type="dxa"/>
            <w:shd w:val="clear" w:color="auto" w:fill="auto"/>
          </w:tcPr>
          <w:p w:rsidR="007B0B32" w:rsidRPr="00510C49" w:rsidRDefault="007B0B32" w:rsidP="00F35CAF">
            <w:pPr>
              <w:pStyle w:val="IndicatorText"/>
              <w:framePr w:hSpace="0" w:wrap="auto" w:vAnchor="margin" w:hAnchor="text" w:yAlign="inline"/>
              <w:spacing w:before="40" w:after="40"/>
              <w:rPr>
                <w:color w:val="auto"/>
              </w:rPr>
            </w:pPr>
            <w:r w:rsidRPr="00510C49">
              <w:rPr>
                <w:color w:val="auto"/>
              </w:rPr>
              <w:t>Outcome</w:t>
            </w:r>
          </w:p>
        </w:tc>
      </w:tr>
      <w:tr w:rsidR="007B0B32" w:rsidRPr="00DE0966" w:rsidTr="00F35CAF">
        <w:trPr>
          <w:trHeight w:val="82"/>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Preferred data sources</w:t>
            </w:r>
          </w:p>
        </w:tc>
        <w:tc>
          <w:tcPr>
            <w:tcW w:w="8222" w:type="dxa"/>
            <w:shd w:val="clear" w:color="auto" w:fill="auto"/>
          </w:tcPr>
          <w:p w:rsidR="007B0B32" w:rsidRPr="00510C49" w:rsidRDefault="007B0B32" w:rsidP="00F35CAF">
            <w:pPr>
              <w:pStyle w:val="IndicatorText"/>
              <w:framePr w:hSpace="0" w:wrap="auto" w:vAnchor="margin" w:hAnchor="text" w:yAlign="inline"/>
              <w:spacing w:before="40" w:after="40"/>
              <w:rPr>
                <w:color w:val="auto"/>
              </w:rPr>
            </w:pPr>
            <w:r w:rsidRPr="00510C49">
              <w:rPr>
                <w:color w:val="auto"/>
              </w:rPr>
              <w:t>Household surveys</w:t>
            </w:r>
          </w:p>
        </w:tc>
      </w:tr>
      <w:tr w:rsidR="007B0B32" w:rsidRPr="00DE0966" w:rsidTr="00F35CAF">
        <w:trPr>
          <w:trHeight w:val="160"/>
        </w:trPr>
        <w:tc>
          <w:tcPr>
            <w:tcW w:w="2127" w:type="dxa"/>
            <w:tcBorders>
              <w:top w:val="nil"/>
              <w:bottom w:val="nil"/>
            </w:tcBorders>
            <w:shd w:val="clear" w:color="000000" w:fill="E6F0FA"/>
          </w:tcPr>
          <w:p w:rsidR="007B0B32" w:rsidRPr="003A44C7" w:rsidRDefault="007B0B32" w:rsidP="00F35CAF">
            <w:pPr>
              <w:spacing w:before="40" w:after="40"/>
              <w:rPr>
                <w:rFonts w:eastAsia="Times New Roman" w:cstheme="minorHAnsi"/>
                <w:color w:val="003366"/>
                <w:sz w:val="16"/>
                <w:szCs w:val="16"/>
              </w:rPr>
            </w:pPr>
            <w:r w:rsidRPr="003A44C7">
              <w:rPr>
                <w:rFonts w:eastAsia="Times New Roman" w:cstheme="minorHAnsi"/>
                <w:color w:val="003366"/>
                <w:sz w:val="16"/>
                <w:szCs w:val="16"/>
              </w:rPr>
              <w:t>Other possible data sources</w:t>
            </w:r>
          </w:p>
        </w:tc>
        <w:tc>
          <w:tcPr>
            <w:tcW w:w="8222" w:type="dxa"/>
            <w:shd w:val="clear" w:color="auto" w:fill="auto"/>
          </w:tcPr>
          <w:p w:rsidR="007B0B32" w:rsidRPr="003A44C7" w:rsidRDefault="007B0B32" w:rsidP="00F35CAF">
            <w:pPr>
              <w:pStyle w:val="IndicatorText"/>
              <w:framePr w:hSpace="0" w:wrap="auto" w:vAnchor="margin" w:hAnchor="text" w:yAlign="inline"/>
              <w:spacing w:before="40" w:after="40"/>
              <w:rPr>
                <w:color w:val="auto"/>
              </w:rPr>
            </w:pPr>
            <w:r w:rsidRPr="003A44C7">
              <w:rPr>
                <w:color w:val="auto"/>
              </w:rPr>
              <w:t>Routine facility information systems</w:t>
            </w:r>
          </w:p>
        </w:tc>
      </w:tr>
      <w:tr w:rsidR="007B0B32" w:rsidRPr="00DE0966" w:rsidTr="00F35CAF">
        <w:trPr>
          <w:trHeight w:val="160"/>
        </w:trPr>
        <w:tc>
          <w:tcPr>
            <w:tcW w:w="2127" w:type="dxa"/>
            <w:tcBorders>
              <w:top w:val="nil"/>
              <w:bottom w:val="nil"/>
            </w:tcBorders>
            <w:shd w:val="clear" w:color="000000" w:fill="E6F0FA"/>
          </w:tcPr>
          <w:p w:rsidR="007B0B32" w:rsidRPr="003A44C7" w:rsidRDefault="007B0B32" w:rsidP="00F35CAF">
            <w:pPr>
              <w:spacing w:before="60" w:after="6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8222" w:type="dxa"/>
            <w:tcBorders>
              <w:bottom w:val="nil"/>
            </w:tcBorders>
            <w:shd w:val="clear" w:color="auto" w:fill="auto"/>
          </w:tcPr>
          <w:p w:rsidR="007B0B32" w:rsidRPr="002919FB" w:rsidRDefault="007B0B32" w:rsidP="00F35CAF">
            <w:pPr>
              <w:pStyle w:val="IndicatorText"/>
              <w:framePr w:hSpace="0" w:wrap="auto" w:vAnchor="margin" w:hAnchor="text" w:yAlign="inline"/>
              <w:spacing w:before="60" w:after="60"/>
              <w:rPr>
                <w:color w:val="auto"/>
                <w:sz w:val="15"/>
                <w:szCs w:val="15"/>
              </w:rPr>
            </w:pPr>
            <w:r w:rsidRPr="002919FB">
              <w:rPr>
                <w:color w:val="auto"/>
                <w:sz w:val="15"/>
                <w:szCs w:val="15"/>
                <w:lang w:val="en-US"/>
              </w:rPr>
              <w:t>Countdown to 2015 decade report (2000</w:t>
            </w:r>
            <w:r w:rsidRPr="002919FB">
              <w:rPr>
                <w:color w:val="auto"/>
                <w:sz w:val="15"/>
                <w:szCs w:val="15"/>
                <w:lang w:val="en-US"/>
              </w:rPr>
              <w:sym w:font="Symbol" w:char="F02D"/>
            </w:r>
            <w:r w:rsidRPr="002919FB">
              <w:rPr>
                <w:color w:val="auto"/>
                <w:sz w:val="15"/>
                <w:szCs w:val="15"/>
                <w:lang w:val="en-US"/>
              </w:rPr>
              <w:t>2010): taking stock of maternal, newborn and child survival. Geneva and New York (NY): World Health Organization/United Nations Children’s Fund; 2010 (</w:t>
            </w:r>
            <w:r w:rsidRPr="002919FB">
              <w:rPr>
                <w:sz w:val="15"/>
                <w:szCs w:val="15"/>
                <w:lang w:val="en-US"/>
              </w:rPr>
              <w:t>http://www.countdown2015mnch.org/reports-and-articles/previous-reports/2010-decade-report</w:t>
            </w:r>
            <w:r w:rsidRPr="002919FB">
              <w:rPr>
                <w:color w:val="auto"/>
                <w:sz w:val="15"/>
                <w:szCs w:val="15"/>
                <w:lang w:val="en-US"/>
              </w:rPr>
              <w:t>, accessed 29 March 2014).</w:t>
            </w:r>
          </w:p>
          <w:p w:rsidR="007B0B32" w:rsidRPr="002919FB" w:rsidRDefault="007B0B32" w:rsidP="00F35CAF">
            <w:pPr>
              <w:pStyle w:val="IndicatorText"/>
              <w:framePr w:hSpace="0" w:wrap="auto" w:vAnchor="margin" w:hAnchor="text" w:yAlign="inline"/>
              <w:spacing w:before="60" w:after="60"/>
              <w:rPr>
                <w:color w:val="auto"/>
                <w:sz w:val="15"/>
                <w:szCs w:val="15"/>
              </w:rPr>
            </w:pPr>
            <w:r w:rsidRPr="002919FB">
              <w:rPr>
                <w:rFonts w:eastAsia="Times New Roman"/>
                <w:sz w:val="15"/>
                <w:szCs w:val="15"/>
                <w:lang w:val="en-US"/>
              </w:rPr>
              <w:t>Countdown to 2015. Monitoring maternal, newborn and child health: understanding key progress indicators. Geneva: World Health Organization; 2011 (http://apps.who.int/iris/bitstream/10665/44770/1/9789241502818_eng.pdf, accessed 29 March 2015).</w:t>
            </w:r>
          </w:p>
          <w:p w:rsidR="007B0B32" w:rsidRPr="002919FB" w:rsidRDefault="007B0B32" w:rsidP="00F35CAF">
            <w:pPr>
              <w:pStyle w:val="IndicatorText"/>
              <w:framePr w:hSpace="0" w:wrap="auto" w:vAnchor="margin" w:hAnchor="text" w:yAlign="inline"/>
              <w:spacing w:before="60" w:after="60"/>
              <w:rPr>
                <w:color w:val="auto"/>
                <w:sz w:val="15"/>
                <w:szCs w:val="15"/>
              </w:rPr>
            </w:pPr>
            <w:r w:rsidRPr="002919FB">
              <w:rPr>
                <w:color w:val="auto"/>
                <w:sz w:val="15"/>
                <w:szCs w:val="15"/>
                <w:lang w:val="en-US"/>
              </w:rPr>
              <w:t>Every newborn: an action plan to end preventable deaths. Geneva: World Health Organization; 2014 (</w:t>
            </w:r>
            <w:r w:rsidRPr="002919FB">
              <w:rPr>
                <w:sz w:val="15"/>
                <w:szCs w:val="15"/>
                <w:lang w:val="en-US"/>
              </w:rPr>
              <w:t>http://www.everynewborn.org/Documents/Full-action-plan-EN.pdf</w:t>
            </w:r>
            <w:r w:rsidRPr="002919FB">
              <w:rPr>
                <w:color w:val="auto"/>
                <w:sz w:val="15"/>
                <w:szCs w:val="15"/>
                <w:lang w:val="en-US"/>
              </w:rPr>
              <w:t>, accessed 29 March 2015).</w:t>
            </w:r>
          </w:p>
          <w:p w:rsidR="007B0B32" w:rsidRPr="002919FB" w:rsidRDefault="007B0B32" w:rsidP="00F35CAF">
            <w:pPr>
              <w:pStyle w:val="IndicatorText"/>
              <w:framePr w:hSpace="0" w:wrap="auto" w:vAnchor="margin" w:hAnchor="text" w:yAlign="inline"/>
              <w:spacing w:before="60" w:after="60"/>
              <w:rPr>
                <w:color w:val="auto"/>
                <w:sz w:val="15"/>
                <w:szCs w:val="15"/>
              </w:rPr>
            </w:pPr>
            <w:r w:rsidRPr="002919FB">
              <w:rPr>
                <w:color w:val="auto"/>
                <w:sz w:val="15"/>
                <w:szCs w:val="15"/>
                <w:lang w:val="en-US"/>
              </w:rPr>
              <w:t>Framework of actions for the follow-up to the Programme of Action of the International Conference on Population and Development beyond 2014. Report of the Secretary-General. New York (NY): United Nations; 2014 (</w:t>
            </w:r>
            <w:r w:rsidRPr="002919FB">
              <w:rPr>
                <w:sz w:val="15"/>
                <w:szCs w:val="15"/>
                <w:lang w:val="en-US"/>
              </w:rPr>
              <w:t>https://www.unfpa.org/webdav/site/global/shared/documents/ICPD/Framework%20of%20action%20for%20the%20follow-up%20to%20the%20PoA%20of%20the%20ICPD.pdf</w:t>
            </w:r>
            <w:r w:rsidRPr="002919FB">
              <w:rPr>
                <w:color w:val="auto"/>
                <w:sz w:val="15"/>
                <w:szCs w:val="15"/>
                <w:lang w:val="en-US"/>
              </w:rPr>
              <w:t>, accessed 19 August 2014).</w:t>
            </w:r>
          </w:p>
          <w:p w:rsidR="007B0B32" w:rsidRPr="002919FB" w:rsidRDefault="007B0B32" w:rsidP="00F35CAF">
            <w:pPr>
              <w:pStyle w:val="IndicatorText"/>
              <w:framePr w:hSpace="0" w:wrap="auto" w:vAnchor="margin" w:hAnchor="text" w:yAlign="inline"/>
              <w:spacing w:before="60" w:after="60"/>
              <w:rPr>
                <w:color w:val="auto"/>
                <w:sz w:val="15"/>
                <w:szCs w:val="15"/>
              </w:rPr>
            </w:pPr>
            <w:r w:rsidRPr="002919FB">
              <w:rPr>
                <w:color w:val="auto"/>
                <w:sz w:val="15"/>
                <w:szCs w:val="15"/>
                <w:lang w:val="en-US"/>
              </w:rPr>
              <w:t>Indicators for monitoring the Millennium Development Goals: definitions, rationale, concepts and sources. New York (NY): United Nations; 2012 (</w:t>
            </w:r>
            <w:r w:rsidRPr="002919FB">
              <w:rPr>
                <w:sz w:val="15"/>
                <w:szCs w:val="15"/>
                <w:lang w:val="en-US"/>
              </w:rPr>
              <w:t>http://mdgs.un.org/unsd/mi/wiki/MainPage.ashx</w:t>
            </w:r>
            <w:r w:rsidRPr="002919FB">
              <w:rPr>
                <w:color w:val="auto"/>
                <w:sz w:val="15"/>
                <w:szCs w:val="15"/>
                <w:lang w:val="en-US"/>
              </w:rPr>
              <w:t>, accessed 29 March 2015).</w:t>
            </w:r>
          </w:p>
          <w:p w:rsidR="007B0B32" w:rsidRPr="003A44C7" w:rsidRDefault="007B0B32" w:rsidP="00F35CAF">
            <w:pPr>
              <w:pStyle w:val="IndicatorText"/>
              <w:framePr w:hSpace="0" w:wrap="auto" w:vAnchor="margin" w:hAnchor="text" w:yAlign="inline"/>
              <w:spacing w:before="60" w:after="60"/>
              <w:rPr>
                <w:color w:val="auto"/>
              </w:rPr>
            </w:pPr>
            <w:r w:rsidRPr="002919FB">
              <w:rPr>
                <w:color w:val="auto"/>
                <w:sz w:val="15"/>
                <w:szCs w:val="15"/>
                <w:lang w:val="en-US"/>
              </w:rPr>
              <w:t>Keeping promises, measuring results. Commission on information and accountability for Women’s and Children’s Health. Geneva: World Health Organization; 2011 (</w:t>
            </w:r>
            <w:r w:rsidRPr="002919FB">
              <w:rPr>
                <w:sz w:val="15"/>
                <w:szCs w:val="15"/>
                <w:lang w:val="en-US"/>
              </w:rPr>
              <w:t>http://www.who.int/topics/millennium_development_goals/accountability_commission/Commission_Report_advance_copy.pdf</w:t>
            </w:r>
            <w:r w:rsidRPr="002919FB">
              <w:rPr>
                <w:color w:val="auto"/>
                <w:sz w:val="15"/>
                <w:szCs w:val="15"/>
                <w:lang w:val="en-US"/>
              </w:rPr>
              <w:t>, accessed 29 March 2015).</w:t>
            </w:r>
          </w:p>
        </w:tc>
      </w:tr>
    </w:tbl>
    <w:p w:rsidR="00A105A0" w:rsidRPr="00A105A0" w:rsidRDefault="00A105A0" w:rsidP="00A105A0">
      <w:pPr>
        <w:spacing w:after="0"/>
      </w:pPr>
    </w:p>
    <w:p w:rsidR="00277801" w:rsidRPr="00277801" w:rsidRDefault="00277801" w:rsidP="00277801">
      <w:pPr>
        <w:pStyle w:val="Tablesub-heading"/>
        <w:shd w:val="clear" w:color="auto" w:fill="365F91" w:themeFill="accent1" w:themeFillShade="BF"/>
        <w:spacing w:after="0"/>
        <w:rPr>
          <w:color w:val="FFFFFF" w:themeColor="background1"/>
        </w:rPr>
      </w:pPr>
      <w:r w:rsidRPr="00277801">
        <w:rPr>
          <w:color w:val="FFFFFF" w:themeColor="background1"/>
        </w:rPr>
        <w:t>Target 3.</w:t>
      </w:r>
      <w:r>
        <w:rPr>
          <w:color w:val="FFFFFF" w:themeColor="background1"/>
        </w:rPr>
        <w:t>2</w:t>
      </w:r>
      <w:r w:rsidRPr="00277801">
        <w:rPr>
          <w:color w:val="FFFFFF" w:themeColor="background1"/>
        </w:rPr>
        <w:t xml:space="preserve">: </w:t>
      </w:r>
      <w:r>
        <w:rPr>
          <w:color w:val="FFFFFF" w:themeColor="background1"/>
        </w:rPr>
        <w:tab/>
      </w:r>
      <w:r w:rsidRPr="00277801">
        <w:rPr>
          <w:color w:val="FFFFFF" w:themeColor="background1"/>
        </w:rPr>
        <w:t>By 2030, end preventable deaths of newborns an</w:t>
      </w:r>
      <w:r>
        <w:rPr>
          <w:color w:val="FFFFFF" w:themeColor="background1"/>
        </w:rPr>
        <w:t>d children under 5 years of age</w:t>
      </w:r>
    </w:p>
    <w:p w:rsidR="007B0B32" w:rsidRDefault="007B0B32" w:rsidP="00277801">
      <w:pPr>
        <w:pStyle w:val="Tablesub-heading"/>
      </w:pPr>
      <w:r>
        <w:t>Indicator 3.</w:t>
      </w:r>
      <w:r w:rsidR="00277801">
        <w:t>2.1:</w:t>
      </w:r>
      <w:r w:rsidR="00277801">
        <w:tab/>
      </w:r>
      <w:r w:rsidRPr="007B0B32">
        <w:t>Under-five mortality per 1,000 live births</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7B0B32" w:rsidRPr="00DE0966" w:rsidTr="00F35CAF">
        <w:trPr>
          <w:trHeight w:val="117"/>
        </w:trPr>
        <w:tc>
          <w:tcPr>
            <w:tcW w:w="2042" w:type="dxa"/>
            <w:tcBorders>
              <w:top w:val="single" w:sz="4" w:space="0" w:color="A3BBD5"/>
              <w:bottom w:val="nil"/>
            </w:tcBorders>
            <w:shd w:val="clear" w:color="000000" w:fill="E6F0FA"/>
            <w:hideMark/>
          </w:tcPr>
          <w:p w:rsidR="007B0B32" w:rsidRPr="00FC4C37" w:rsidRDefault="007B0B32" w:rsidP="00277801">
            <w:pPr>
              <w:spacing w:after="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7B0B32" w:rsidRPr="0084257C" w:rsidRDefault="007B0B32" w:rsidP="00277801">
            <w:pPr>
              <w:pStyle w:val="IndicatorName"/>
              <w:framePr w:hSpace="0" w:wrap="auto" w:vAnchor="margin" w:hAnchor="text" w:yAlign="inline"/>
              <w:spacing w:beforeLines="0" w:before="0" w:after="0"/>
            </w:pPr>
            <w:bookmarkStart w:id="3" w:name="_Toc418774214"/>
            <w:r w:rsidRPr="009D2469">
              <w:t>Under-five mortality rate</w:t>
            </w:r>
            <w:bookmarkEnd w:id="3"/>
          </w:p>
        </w:tc>
      </w:tr>
      <w:tr w:rsidR="007B0B32" w:rsidRPr="00DE0966" w:rsidTr="00F35CAF">
        <w:trPr>
          <w:trHeight w:val="35"/>
        </w:trPr>
        <w:tc>
          <w:tcPr>
            <w:tcW w:w="2042" w:type="dxa"/>
            <w:tcBorders>
              <w:top w:val="nil"/>
              <w:bottom w:val="nil"/>
            </w:tcBorders>
            <w:shd w:val="clear" w:color="000000" w:fill="E6F0FA"/>
            <w:hideMark/>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Indicator name</w:t>
            </w:r>
          </w:p>
        </w:tc>
        <w:tc>
          <w:tcPr>
            <w:tcW w:w="7654" w:type="dxa"/>
            <w:shd w:val="clear" w:color="auto" w:fill="auto"/>
          </w:tcPr>
          <w:p w:rsidR="007B0B32" w:rsidRPr="0084257C" w:rsidRDefault="007B0B32" w:rsidP="00277801">
            <w:pPr>
              <w:pStyle w:val="IndicatorText"/>
              <w:framePr w:hSpace="0" w:wrap="auto" w:vAnchor="margin" w:hAnchor="text" w:yAlign="inline"/>
              <w:spacing w:before="0" w:after="0"/>
            </w:pPr>
            <w:r w:rsidRPr="008867A2">
              <w:t>Under-five mortality rate (probability of dying by age 5 per 1000 live births)</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Domain</w:t>
            </w:r>
          </w:p>
        </w:tc>
        <w:tc>
          <w:tcPr>
            <w:tcW w:w="7654" w:type="dxa"/>
            <w:shd w:val="clear" w:color="auto" w:fill="auto"/>
          </w:tcPr>
          <w:p w:rsidR="007B0B32" w:rsidRPr="0084257C" w:rsidRDefault="007B0B32" w:rsidP="00277801">
            <w:pPr>
              <w:pStyle w:val="IndicatorText"/>
              <w:framePr w:hSpace="0" w:wrap="auto" w:vAnchor="margin" w:hAnchor="text" w:yAlign="inline"/>
              <w:spacing w:before="0" w:after="0"/>
            </w:pPr>
            <w:r w:rsidRPr="0084257C">
              <w:t>Health status</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Subdomain</w:t>
            </w:r>
          </w:p>
        </w:tc>
        <w:tc>
          <w:tcPr>
            <w:tcW w:w="7654" w:type="dxa"/>
            <w:shd w:val="clear" w:color="auto" w:fill="auto"/>
          </w:tcPr>
          <w:p w:rsidR="007B0B32" w:rsidRPr="0084257C" w:rsidRDefault="007B0B32" w:rsidP="00277801">
            <w:pPr>
              <w:pStyle w:val="IndicatorText"/>
              <w:framePr w:hSpace="0" w:wrap="auto" w:vAnchor="margin" w:hAnchor="text" w:yAlign="inline"/>
              <w:spacing w:before="0" w:after="0"/>
            </w:pPr>
            <w:r w:rsidRPr="00B100CA">
              <w:t xml:space="preserve">Reproductive, </w:t>
            </w:r>
            <w:r>
              <w:t>m</w:t>
            </w:r>
            <w:r w:rsidRPr="00B100CA">
              <w:t xml:space="preserve">aternal, </w:t>
            </w:r>
            <w:r>
              <w:t>n</w:t>
            </w:r>
            <w:r w:rsidRPr="00B100CA">
              <w:t xml:space="preserve">ewborn, </w:t>
            </w:r>
            <w:r>
              <w:t>c</w:t>
            </w:r>
            <w:r w:rsidRPr="00B100CA">
              <w:t xml:space="preserve">hild and </w:t>
            </w:r>
            <w:r>
              <w:t>a</w:t>
            </w:r>
            <w:r w:rsidRPr="00B100CA">
              <w:t xml:space="preserve">dolescent </w:t>
            </w:r>
            <w:r>
              <w:t>h</w:t>
            </w:r>
            <w:r w:rsidRPr="00B100CA">
              <w:t>ealth</w:t>
            </w:r>
            <w:r>
              <w:t xml:space="preserve"> </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Associated terms</w:t>
            </w:r>
          </w:p>
        </w:tc>
        <w:tc>
          <w:tcPr>
            <w:tcW w:w="7654" w:type="dxa"/>
            <w:shd w:val="clear" w:color="auto" w:fill="auto"/>
          </w:tcPr>
          <w:p w:rsidR="007B0B32" w:rsidRPr="0084257C" w:rsidRDefault="007B0B32" w:rsidP="00277801">
            <w:pPr>
              <w:pStyle w:val="IndicatorText"/>
              <w:framePr w:hSpace="0" w:wrap="auto" w:vAnchor="margin" w:hAnchor="text" w:yAlign="inline"/>
              <w:spacing w:before="0" w:after="0"/>
            </w:pPr>
            <w:r w:rsidRPr="0084257C">
              <w:t>Mortality by age and sex</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Definition</w:t>
            </w:r>
          </w:p>
        </w:tc>
        <w:tc>
          <w:tcPr>
            <w:tcW w:w="7654" w:type="dxa"/>
            <w:shd w:val="clear" w:color="auto" w:fill="auto"/>
          </w:tcPr>
          <w:p w:rsidR="007B0B32" w:rsidRDefault="007B0B32" w:rsidP="00277801">
            <w:pPr>
              <w:pStyle w:val="IndicatorText"/>
              <w:framePr w:hSpace="0" w:wrap="auto" w:vAnchor="margin" w:hAnchor="text" w:yAlign="inline"/>
              <w:spacing w:before="0" w:after="0"/>
            </w:pPr>
            <w:r>
              <w:rPr>
                <w:rFonts w:ascii="Calibri" w:eastAsia="Times New Roman" w:hAnsi="Calibri" w:cs="Calibri"/>
                <w:szCs w:val="16"/>
              </w:rPr>
              <w:t>The p</w:t>
            </w:r>
            <w:r w:rsidRPr="00051568">
              <w:rPr>
                <w:rFonts w:ascii="Calibri" w:eastAsia="Times New Roman" w:hAnsi="Calibri" w:cs="Calibri"/>
                <w:szCs w:val="16"/>
              </w:rPr>
              <w:t xml:space="preserve">robability of a child born in a specific year or period dying before reaching the age of </w:t>
            </w:r>
            <w:r>
              <w:rPr>
                <w:rFonts w:ascii="Calibri" w:eastAsia="Times New Roman" w:hAnsi="Calibri" w:cs="Calibri"/>
                <w:szCs w:val="16"/>
              </w:rPr>
              <w:t>5 years</w:t>
            </w:r>
            <w:r w:rsidRPr="00051568">
              <w:rPr>
                <w:rFonts w:ascii="Calibri" w:eastAsia="Times New Roman" w:hAnsi="Calibri" w:cs="Calibri"/>
                <w:szCs w:val="16"/>
              </w:rPr>
              <w:t>, if subject to age-specific mortality rates of that period, expressed</w:t>
            </w:r>
            <w:r>
              <w:rPr>
                <w:rFonts w:ascii="Calibri" w:eastAsia="Times New Roman" w:hAnsi="Calibri" w:cs="Calibri"/>
                <w:szCs w:val="16"/>
              </w:rPr>
              <w:t xml:space="preserve"> </w:t>
            </w:r>
            <w:r w:rsidRPr="00051568">
              <w:rPr>
                <w:rFonts w:ascii="Calibri" w:eastAsia="Times New Roman" w:hAnsi="Calibri" w:cs="Calibri"/>
                <w:szCs w:val="16"/>
              </w:rPr>
              <w:t>per</w:t>
            </w:r>
            <w:r>
              <w:rPr>
                <w:rFonts w:ascii="Calibri" w:eastAsia="Times New Roman" w:hAnsi="Calibri" w:cs="Calibri"/>
                <w:szCs w:val="16"/>
              </w:rPr>
              <w:t xml:space="preserve"> 1000</w:t>
            </w:r>
            <w:r w:rsidRPr="00051568">
              <w:rPr>
                <w:rFonts w:ascii="Calibri" w:eastAsia="Times New Roman" w:hAnsi="Calibri" w:cs="Calibri"/>
                <w:szCs w:val="16"/>
              </w:rPr>
              <w:t xml:space="preserve"> live births</w:t>
            </w:r>
            <w:r>
              <w:rPr>
                <w:rFonts w:ascii="Calibri" w:eastAsia="Times New Roman" w:hAnsi="Calibri" w:cs="Calibri"/>
                <w:szCs w:val="16"/>
              </w:rPr>
              <w:t>.</w:t>
            </w:r>
          </w:p>
          <w:p w:rsidR="007B0B32" w:rsidRPr="0084257C" w:rsidRDefault="007B0B32" w:rsidP="00277801">
            <w:pPr>
              <w:pStyle w:val="IndicatorText"/>
              <w:framePr w:hSpace="0" w:wrap="auto" w:vAnchor="margin" w:hAnchor="text" w:yAlign="inline"/>
              <w:spacing w:before="0" w:after="0"/>
            </w:pPr>
            <w:r>
              <w:t>The u</w:t>
            </w:r>
            <w:r w:rsidRPr="0084257C">
              <w:t>nder-five mortality rate as defined here is</w:t>
            </w:r>
            <w:r>
              <w:t>,</w:t>
            </w:r>
            <w:r w:rsidRPr="0084257C">
              <w:t xml:space="preserve"> strictly speaking</w:t>
            </w:r>
            <w:r>
              <w:t>,</w:t>
            </w:r>
            <w:r w:rsidRPr="0084257C">
              <w:t xml:space="preserve"> not a rate (i.e. the number of deaths divided by the number of population at risk during a certain period of time) but a probability of death derived from a life table and expressed as </w:t>
            </w:r>
            <w:r>
              <w:t xml:space="preserve">a </w:t>
            </w:r>
            <w:r w:rsidRPr="0084257C">
              <w:t>rate per 1000 live births.</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Numerator</w:t>
            </w:r>
          </w:p>
        </w:tc>
        <w:tc>
          <w:tcPr>
            <w:tcW w:w="7654" w:type="dxa"/>
            <w:shd w:val="clear" w:color="auto" w:fill="auto"/>
          </w:tcPr>
          <w:p w:rsidR="007B0B32" w:rsidRPr="0084257C" w:rsidRDefault="007B0B32" w:rsidP="00277801">
            <w:pPr>
              <w:pStyle w:val="IndicatorText"/>
              <w:framePr w:hSpace="0" w:wrap="auto" w:vAnchor="margin" w:hAnchor="text" w:yAlign="inline"/>
              <w:spacing w:before="0" w:after="0"/>
            </w:pPr>
            <w:r>
              <w:t>Number of</w:t>
            </w:r>
            <w:r w:rsidRPr="0084257C">
              <w:t xml:space="preserve"> deaths among children aged 0</w:t>
            </w:r>
            <w:r>
              <w:sym w:font="Symbol" w:char="F02D"/>
            </w:r>
            <w:r w:rsidRPr="0084257C">
              <w:t>4 years (0</w:t>
            </w:r>
            <w:r>
              <w:sym w:font="Symbol" w:char="F02D"/>
            </w:r>
            <w:r w:rsidRPr="0084257C">
              <w:t>59 months of age), broken down by age groups</w:t>
            </w:r>
            <w:r>
              <w:t>.</w:t>
            </w:r>
          </w:p>
        </w:tc>
      </w:tr>
      <w:tr w:rsidR="007B0B32" w:rsidRPr="00DE0966" w:rsidTr="00F35CAF">
        <w:trPr>
          <w:trHeight w:val="62"/>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Denominator</w:t>
            </w:r>
          </w:p>
        </w:tc>
        <w:tc>
          <w:tcPr>
            <w:tcW w:w="7654" w:type="dxa"/>
            <w:shd w:val="clear" w:color="auto" w:fill="auto"/>
          </w:tcPr>
          <w:p w:rsidR="007B0B32" w:rsidRPr="0084257C" w:rsidRDefault="007B0B32" w:rsidP="00277801">
            <w:pPr>
              <w:pStyle w:val="IndicatorText"/>
              <w:framePr w:hSpace="0" w:wrap="auto" w:vAnchor="margin" w:hAnchor="text" w:yAlign="inline"/>
              <w:spacing w:before="0" w:after="0"/>
            </w:pPr>
            <w:r>
              <w:t>Number of</w:t>
            </w:r>
            <w:r w:rsidRPr="0084257C">
              <w:t xml:space="preserve"> live births (person</w:t>
            </w:r>
            <w:r>
              <w:t>-</w:t>
            </w:r>
            <w:r w:rsidRPr="0084257C">
              <w:t>years of exposure)</w:t>
            </w:r>
            <w:r>
              <w:t>.</w:t>
            </w:r>
          </w:p>
        </w:tc>
      </w:tr>
      <w:tr w:rsidR="007B0B32" w:rsidRPr="00DE0966" w:rsidTr="00F35CAF">
        <w:trPr>
          <w:trHeight w:val="268"/>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Disaggregation/</w:t>
            </w:r>
            <w:r w:rsidRPr="00FC4C37">
              <w:rPr>
                <w:rFonts w:eastAsia="Times New Roman" w:cstheme="minorHAnsi"/>
                <w:color w:val="003366"/>
                <w:sz w:val="16"/>
                <w:szCs w:val="16"/>
              </w:rPr>
              <w:br/>
              <w:t>additional dimension</w:t>
            </w:r>
          </w:p>
        </w:tc>
        <w:tc>
          <w:tcPr>
            <w:tcW w:w="7654" w:type="dxa"/>
            <w:shd w:val="clear" w:color="auto" w:fill="auto"/>
          </w:tcPr>
          <w:p w:rsidR="007B0B32" w:rsidRDefault="007B0B32" w:rsidP="00277801">
            <w:pPr>
              <w:pStyle w:val="IndicatorText"/>
              <w:framePr w:hSpace="0" w:wrap="auto" w:vAnchor="margin" w:hAnchor="text" w:yAlign="inline"/>
              <w:spacing w:before="0" w:after="0"/>
            </w:pPr>
            <w:r w:rsidRPr="0084257C">
              <w:t>Place of residence,</w:t>
            </w:r>
            <w:r>
              <w:t xml:space="preserve"> s</w:t>
            </w:r>
            <w:r w:rsidRPr="0084257C">
              <w:t>ex</w:t>
            </w:r>
            <w:r>
              <w:t>, s</w:t>
            </w:r>
            <w:r w:rsidRPr="0084257C">
              <w:t xml:space="preserve">ocioeconomic status </w:t>
            </w:r>
          </w:p>
          <w:p w:rsidR="007B0B32" w:rsidRPr="00CE7399" w:rsidRDefault="007B0B32" w:rsidP="00277801">
            <w:pPr>
              <w:pStyle w:val="IndicatorText"/>
              <w:framePr w:hSpace="0" w:wrap="auto" w:vAnchor="margin" w:hAnchor="text" w:yAlign="inline"/>
              <w:spacing w:before="0" w:after="0"/>
              <w:rPr>
                <w:i/>
                <w:iCs/>
              </w:rPr>
            </w:pPr>
            <w:r w:rsidRPr="00CE7399">
              <w:rPr>
                <w:rFonts w:ascii="Calibri" w:eastAsia="Times New Roman" w:hAnsi="Calibri" w:cs="Calibri"/>
                <w:i/>
                <w:iCs/>
                <w:szCs w:val="16"/>
              </w:rPr>
              <w:t>Also: by cause, including pneumonia or diarrhoea</w:t>
            </w:r>
          </w:p>
        </w:tc>
      </w:tr>
      <w:tr w:rsidR="007B0B32" w:rsidRPr="00DE0966" w:rsidTr="00F35CAF">
        <w:trPr>
          <w:trHeight w:val="122"/>
        </w:trPr>
        <w:tc>
          <w:tcPr>
            <w:tcW w:w="2042" w:type="dxa"/>
            <w:tcBorders>
              <w:top w:val="nil"/>
              <w:bottom w:val="nil"/>
            </w:tcBorders>
            <w:shd w:val="clear" w:color="000000" w:fill="E6F0FA"/>
          </w:tcPr>
          <w:p w:rsidR="007B0B32" w:rsidRPr="00FC4C37" w:rsidRDefault="007B0B32" w:rsidP="00F35CAF">
            <w:pPr>
              <w:spacing w:before="80" w:after="80"/>
              <w:rPr>
                <w:rFonts w:eastAsia="Times New Roman" w:cstheme="minorHAnsi"/>
                <w:color w:val="003366"/>
                <w:sz w:val="16"/>
                <w:szCs w:val="16"/>
              </w:rPr>
            </w:pPr>
            <w:r w:rsidRPr="00FC4C37">
              <w:rPr>
                <w:rFonts w:eastAsia="Times New Roman" w:cstheme="minorHAnsi"/>
                <w:color w:val="003366"/>
                <w:sz w:val="16"/>
                <w:szCs w:val="16"/>
              </w:rPr>
              <w:t>Method of measurement</w:t>
            </w:r>
          </w:p>
        </w:tc>
        <w:tc>
          <w:tcPr>
            <w:tcW w:w="7654" w:type="dxa"/>
            <w:shd w:val="clear" w:color="auto" w:fill="auto"/>
          </w:tcPr>
          <w:p w:rsidR="007B0B32" w:rsidRDefault="007B0B32" w:rsidP="00F35CAF">
            <w:pPr>
              <w:pStyle w:val="IndicatorText"/>
              <w:framePr w:hSpace="0" w:wrap="auto" w:vAnchor="margin" w:hAnchor="text" w:yAlign="inline"/>
            </w:pPr>
            <w:r>
              <w:t>The m</w:t>
            </w:r>
            <w:r w:rsidRPr="0084257C">
              <w:t>ost frequently</w:t>
            </w:r>
            <w:r>
              <w:t xml:space="preserve"> </w:t>
            </w:r>
            <w:r w:rsidRPr="0084257C">
              <w:t>used methods using the above-mentioned data sources are as follows:</w:t>
            </w:r>
          </w:p>
          <w:p w:rsidR="007B0B32" w:rsidRDefault="007B0B32" w:rsidP="00F35CAF">
            <w:pPr>
              <w:pStyle w:val="IndicatorText"/>
              <w:framePr w:hSpace="0" w:wrap="auto" w:vAnchor="margin" w:hAnchor="text" w:yAlign="inline"/>
            </w:pPr>
            <w:r w:rsidRPr="0084257C">
              <w:rPr>
                <w:u w:val="single"/>
              </w:rPr>
              <w:t>Civil registration:</w:t>
            </w:r>
            <w:r w:rsidRPr="0084257C">
              <w:t xml:space="preserve"> Number of deaths at age 0 and population </w:t>
            </w:r>
            <w:r>
              <w:t>of</w:t>
            </w:r>
            <w:r w:rsidRPr="0084257C">
              <w:t xml:space="preserve"> the same age are used to calculate death rate</w:t>
            </w:r>
            <w:r>
              <w:t>s</w:t>
            </w:r>
            <w:r w:rsidRPr="0084257C">
              <w:t xml:space="preserve"> which are then converted into age-specific probability of dying. </w:t>
            </w:r>
          </w:p>
          <w:p w:rsidR="007B0B32" w:rsidRDefault="007B0B32" w:rsidP="00F35CAF">
            <w:pPr>
              <w:pStyle w:val="IndicatorText"/>
              <w:framePr w:hSpace="0" w:wrap="auto" w:vAnchor="margin" w:hAnchor="text" w:yAlign="inline"/>
            </w:pPr>
            <w:r w:rsidRPr="0084257C">
              <w:rPr>
                <w:u w:val="single"/>
              </w:rPr>
              <w:t>Census and surveys</w:t>
            </w:r>
            <w:r w:rsidRPr="0084257C">
              <w:t>: An indirect method is used based on questions to each woma</w:t>
            </w:r>
            <w:r>
              <w:t>n of</w:t>
            </w:r>
            <w:r w:rsidRPr="0084257C">
              <w:t xml:space="preserve"> reproductive age as to how many children she has ever </w:t>
            </w:r>
            <w:r>
              <w:t>given birth to</w:t>
            </w:r>
            <w:r w:rsidRPr="0084257C">
              <w:t xml:space="preserve"> and how many are still alive. The Brass method and model life tables are then used to obtain an estimate of infant mortality. </w:t>
            </w:r>
          </w:p>
          <w:p w:rsidR="007B0B32" w:rsidRPr="0084257C" w:rsidRDefault="007B0B32" w:rsidP="00F35CAF">
            <w:pPr>
              <w:pStyle w:val="IndicatorText"/>
              <w:framePr w:hSpace="0" w:wrap="auto" w:vAnchor="margin" w:hAnchor="text" w:yAlign="inline"/>
            </w:pPr>
            <w:r w:rsidRPr="0084257C">
              <w:rPr>
                <w:u w:val="single"/>
              </w:rPr>
              <w:t>Surveys</w:t>
            </w:r>
            <w:r w:rsidRPr="0084257C">
              <w:t xml:space="preserve">: A direct method is used based on birth history </w:t>
            </w:r>
            <w:r>
              <w:sym w:font="Symbol" w:char="F02D"/>
            </w:r>
            <w:r w:rsidRPr="0084257C">
              <w:t xml:space="preserve"> a series of detailed questions on each child a woman has given birth to during her lifetime. To reduce sampling errors, the estimates are often presented as period rates for five years preceding the survey. A synthetic cohort method developed by </w:t>
            </w:r>
            <w:r>
              <w:t>the Demographic and Health Surveys (</w:t>
            </w:r>
            <w:r w:rsidRPr="0084257C">
              <w:t>DHS</w:t>
            </w:r>
            <w:r>
              <w:t>)</w:t>
            </w:r>
            <w:r w:rsidRPr="0084257C">
              <w:t xml:space="preserve"> is used to compute period rates.</w:t>
            </w:r>
          </w:p>
        </w:tc>
      </w:tr>
      <w:tr w:rsidR="007B0B32" w:rsidRPr="00DE0966" w:rsidTr="00F35CAF">
        <w:trPr>
          <w:trHeight w:val="160"/>
        </w:trPr>
        <w:tc>
          <w:tcPr>
            <w:tcW w:w="2042" w:type="dxa"/>
            <w:tcBorders>
              <w:top w:val="nil"/>
              <w:bottom w:val="nil"/>
            </w:tcBorders>
            <w:shd w:val="clear" w:color="000000" w:fill="E6F0FA"/>
          </w:tcPr>
          <w:p w:rsidR="007B0B32" w:rsidRPr="00FC4C37" w:rsidRDefault="007B0B32" w:rsidP="00F35CAF">
            <w:pPr>
              <w:spacing w:before="80" w:after="80"/>
              <w:rPr>
                <w:rFonts w:eastAsia="Times New Roman" w:cstheme="minorHAnsi"/>
                <w:color w:val="003366"/>
                <w:sz w:val="16"/>
                <w:szCs w:val="16"/>
              </w:rPr>
            </w:pPr>
            <w:r w:rsidRPr="00FC4C37">
              <w:rPr>
                <w:rFonts w:eastAsia="Times New Roman" w:cstheme="minorHAnsi"/>
                <w:color w:val="003366"/>
                <w:sz w:val="16"/>
                <w:szCs w:val="16"/>
              </w:rPr>
              <w:t>Method of estimation</w:t>
            </w:r>
          </w:p>
        </w:tc>
        <w:tc>
          <w:tcPr>
            <w:tcW w:w="7654" w:type="dxa"/>
            <w:shd w:val="clear" w:color="auto" w:fill="auto"/>
          </w:tcPr>
          <w:p w:rsidR="007B0B32" w:rsidRDefault="007B0B32" w:rsidP="00F35CAF">
            <w:pPr>
              <w:pStyle w:val="IndicatorText"/>
              <w:framePr w:hSpace="0" w:wrap="auto" w:vAnchor="margin" w:hAnchor="text" w:yAlign="inline"/>
            </w:pPr>
            <w:r w:rsidRPr="0084257C">
              <w:t xml:space="preserve">The </w:t>
            </w:r>
            <w:r>
              <w:t>UN-IGME</w:t>
            </w:r>
            <w:r w:rsidRPr="0084257C">
              <w:t xml:space="preserve"> produces trends of under-five mortality with </w:t>
            </w:r>
            <w:r>
              <w:t xml:space="preserve">a </w:t>
            </w:r>
            <w:r w:rsidRPr="0084257C">
              <w:t>standardized methodology by group of countries depending on the type and quality of source of data available.</w:t>
            </w:r>
            <w:r>
              <w:t xml:space="preserve"> </w:t>
            </w:r>
            <w:r w:rsidRPr="0084257C">
              <w:t xml:space="preserve">For countries with adequate trend of data from civil registration, the calculations of under-five and infant mortality rates are derived from a standard period abridged life table. For countries with survey data, under-five mortality rates are estimated using the Bayesian B-splines bias-adjusted model. See the </w:t>
            </w:r>
            <w:r>
              <w:t>UN-IGME</w:t>
            </w:r>
            <w:r w:rsidRPr="0084257C">
              <w:t xml:space="preserve"> link for details. These under-five mortality rates have been estimated by applying methods to the available data from </w:t>
            </w:r>
            <w:r>
              <w:t xml:space="preserve">all </w:t>
            </w:r>
            <w:r w:rsidRPr="0084257C">
              <w:t xml:space="preserve">Member States </w:t>
            </w:r>
            <w:r>
              <w:t>in order</w:t>
            </w:r>
            <w:r w:rsidRPr="0084257C">
              <w:t xml:space="preserve"> to ensure comparability across countries and time; hence they are not necessarily the same as the official national data. </w:t>
            </w:r>
          </w:p>
          <w:p w:rsidR="007B0B32" w:rsidRPr="0084257C" w:rsidRDefault="007B0B32" w:rsidP="00F35CAF">
            <w:pPr>
              <w:pStyle w:val="IndicatorText"/>
              <w:framePr w:hSpace="0" w:wrap="auto" w:vAnchor="margin" w:hAnchor="text" w:yAlign="inline"/>
            </w:pPr>
            <w:r w:rsidRPr="0084257C">
              <w:t>Predominant type of statistics: adjusted and predicted.</w:t>
            </w:r>
          </w:p>
        </w:tc>
      </w:tr>
      <w:tr w:rsidR="007B0B32" w:rsidRPr="00DE0966" w:rsidTr="00F35CAF">
        <w:trPr>
          <w:trHeight w:val="224"/>
        </w:trPr>
        <w:tc>
          <w:tcPr>
            <w:tcW w:w="2042" w:type="dxa"/>
            <w:tcBorders>
              <w:top w:val="nil"/>
              <w:bottom w:val="nil"/>
            </w:tcBorders>
            <w:shd w:val="clear" w:color="000000" w:fill="E6F0FA"/>
          </w:tcPr>
          <w:p w:rsidR="007B0B32" w:rsidRPr="00FC4C37" w:rsidRDefault="007B0B32" w:rsidP="00F35CAF">
            <w:pPr>
              <w:spacing w:before="80" w:after="80"/>
              <w:rPr>
                <w:rFonts w:eastAsia="Times New Roman" w:cstheme="minorHAnsi"/>
                <w:color w:val="003366"/>
                <w:sz w:val="16"/>
                <w:szCs w:val="16"/>
              </w:rPr>
            </w:pPr>
            <w:r w:rsidRPr="00FC4C37">
              <w:rPr>
                <w:rFonts w:eastAsia="Times New Roman" w:cstheme="minorHAnsi"/>
                <w:color w:val="003366"/>
                <w:sz w:val="16"/>
                <w:szCs w:val="16"/>
              </w:rPr>
              <w:t>Measurement frequency</w:t>
            </w:r>
          </w:p>
        </w:tc>
        <w:tc>
          <w:tcPr>
            <w:tcW w:w="7654" w:type="dxa"/>
            <w:shd w:val="clear" w:color="auto" w:fill="auto"/>
          </w:tcPr>
          <w:p w:rsidR="007B0B32" w:rsidRPr="0084257C" w:rsidRDefault="007B0B32" w:rsidP="00F35CAF">
            <w:pPr>
              <w:pStyle w:val="IndicatorText"/>
              <w:framePr w:hSpace="0" w:wrap="auto" w:vAnchor="margin" w:hAnchor="text" w:yAlign="inline"/>
            </w:pPr>
            <w:r w:rsidRPr="0084257C">
              <w:t>Annual if based on registration system; otherwise, less frequent (3</w:t>
            </w:r>
            <w:r>
              <w:sym w:font="Symbol" w:char="F02D"/>
            </w:r>
            <w:r w:rsidRPr="0084257C">
              <w:t>5 years based on surveys)</w:t>
            </w:r>
          </w:p>
        </w:tc>
      </w:tr>
      <w:tr w:rsidR="007B0B32" w:rsidRPr="00DE0966" w:rsidTr="00F35CAF">
        <w:trPr>
          <w:trHeight w:val="159"/>
        </w:trPr>
        <w:tc>
          <w:tcPr>
            <w:tcW w:w="2042" w:type="dxa"/>
            <w:tcBorders>
              <w:top w:val="nil"/>
              <w:bottom w:val="nil"/>
            </w:tcBorders>
            <w:shd w:val="clear" w:color="000000" w:fill="E6F0FA"/>
          </w:tcPr>
          <w:p w:rsidR="007B0B32" w:rsidRPr="00FC4C37" w:rsidRDefault="007B0B32" w:rsidP="00F35CAF">
            <w:pPr>
              <w:spacing w:before="80" w:after="80"/>
              <w:rPr>
                <w:rFonts w:eastAsia="Times New Roman" w:cstheme="minorHAnsi"/>
                <w:color w:val="003366"/>
                <w:sz w:val="16"/>
                <w:szCs w:val="16"/>
              </w:rPr>
            </w:pPr>
            <w:r w:rsidRPr="00FE5BB2">
              <w:rPr>
                <w:rFonts w:eastAsia="Times New Roman" w:cstheme="minorHAnsi"/>
                <w:color w:val="003366"/>
                <w:sz w:val="16"/>
                <w:szCs w:val="16"/>
              </w:rPr>
              <w:t xml:space="preserve">Monitoring and evaluation </w:t>
            </w:r>
            <w:r w:rsidRPr="00FC4C37">
              <w:rPr>
                <w:rFonts w:eastAsia="Times New Roman" w:cstheme="minorHAnsi"/>
                <w:color w:val="003366"/>
                <w:sz w:val="16"/>
                <w:szCs w:val="16"/>
              </w:rPr>
              <w:t>framework</w:t>
            </w:r>
          </w:p>
        </w:tc>
        <w:tc>
          <w:tcPr>
            <w:tcW w:w="7654" w:type="dxa"/>
            <w:shd w:val="clear" w:color="auto" w:fill="auto"/>
          </w:tcPr>
          <w:p w:rsidR="007B0B32" w:rsidRPr="0084257C" w:rsidRDefault="007B0B32" w:rsidP="00F35CAF">
            <w:pPr>
              <w:pStyle w:val="IndicatorText"/>
              <w:framePr w:hSpace="0" w:wrap="auto" w:vAnchor="margin" w:hAnchor="text" w:yAlign="inline"/>
            </w:pPr>
            <w:r w:rsidRPr="0084257C">
              <w:t>Impact</w:t>
            </w:r>
          </w:p>
        </w:tc>
      </w:tr>
      <w:tr w:rsidR="007B0B32" w:rsidRPr="00DE0966" w:rsidTr="00F35CAF">
        <w:trPr>
          <w:trHeight w:val="82"/>
        </w:trPr>
        <w:tc>
          <w:tcPr>
            <w:tcW w:w="2042" w:type="dxa"/>
            <w:tcBorders>
              <w:top w:val="nil"/>
              <w:bottom w:val="nil"/>
            </w:tcBorders>
            <w:shd w:val="clear" w:color="000000" w:fill="E6F0FA"/>
          </w:tcPr>
          <w:p w:rsidR="007B0B32" w:rsidRPr="00FC4C37" w:rsidRDefault="007B0B32" w:rsidP="00F35CAF">
            <w:pPr>
              <w:spacing w:before="80" w:after="80"/>
              <w:rPr>
                <w:rFonts w:eastAsia="Times New Roman" w:cstheme="minorHAnsi"/>
                <w:color w:val="003366"/>
                <w:sz w:val="16"/>
                <w:szCs w:val="16"/>
              </w:rPr>
            </w:pPr>
            <w:r w:rsidRPr="00FC4C37">
              <w:rPr>
                <w:rFonts w:eastAsia="Times New Roman" w:cstheme="minorHAnsi"/>
                <w:color w:val="003366"/>
                <w:sz w:val="16"/>
                <w:szCs w:val="16"/>
              </w:rPr>
              <w:t>Preferred data sources</w:t>
            </w:r>
          </w:p>
        </w:tc>
        <w:tc>
          <w:tcPr>
            <w:tcW w:w="7654" w:type="dxa"/>
            <w:shd w:val="clear" w:color="auto" w:fill="auto"/>
          </w:tcPr>
          <w:p w:rsidR="007B0B32" w:rsidRPr="0084257C" w:rsidRDefault="007B0B32" w:rsidP="00F35CAF">
            <w:pPr>
              <w:pStyle w:val="IndicatorText"/>
              <w:framePr w:hSpace="0" w:wrap="auto" w:vAnchor="margin" w:hAnchor="text" w:yAlign="inline"/>
            </w:pPr>
            <w:r w:rsidRPr="0084257C">
              <w:t>Civil registration with high coverage</w:t>
            </w:r>
          </w:p>
        </w:tc>
      </w:tr>
      <w:tr w:rsidR="007B0B32" w:rsidRPr="00DE0966" w:rsidTr="00F35CAF">
        <w:trPr>
          <w:trHeight w:val="160"/>
        </w:trPr>
        <w:tc>
          <w:tcPr>
            <w:tcW w:w="2042" w:type="dxa"/>
            <w:tcBorders>
              <w:top w:val="nil"/>
              <w:bottom w:val="nil"/>
            </w:tcBorders>
            <w:shd w:val="clear" w:color="000000" w:fill="E6F0FA"/>
          </w:tcPr>
          <w:p w:rsidR="007B0B32" w:rsidRPr="00FC4C37" w:rsidRDefault="007B0B32" w:rsidP="00F35CAF">
            <w:pPr>
              <w:spacing w:before="80" w:after="80"/>
              <w:rPr>
                <w:rFonts w:eastAsia="Times New Roman" w:cstheme="minorHAnsi"/>
                <w:color w:val="003366"/>
                <w:sz w:val="16"/>
                <w:szCs w:val="16"/>
              </w:rPr>
            </w:pPr>
            <w:r w:rsidRPr="00FC4C37">
              <w:rPr>
                <w:rFonts w:eastAsia="Times New Roman" w:cstheme="minorHAnsi"/>
                <w:color w:val="003366"/>
                <w:sz w:val="16"/>
                <w:szCs w:val="16"/>
              </w:rPr>
              <w:t>Other possible data sources</w:t>
            </w:r>
          </w:p>
        </w:tc>
        <w:tc>
          <w:tcPr>
            <w:tcW w:w="7654" w:type="dxa"/>
            <w:shd w:val="clear" w:color="auto" w:fill="auto"/>
          </w:tcPr>
          <w:p w:rsidR="007B0B32" w:rsidRPr="0084257C" w:rsidRDefault="007B0B32" w:rsidP="00F35CAF">
            <w:pPr>
              <w:pStyle w:val="IndicatorText"/>
              <w:framePr w:hSpace="0" w:wrap="auto" w:vAnchor="margin" w:hAnchor="text" w:yAlign="inline"/>
            </w:pPr>
            <w:r w:rsidRPr="0084257C">
              <w:t xml:space="preserve">Household surveys, </w:t>
            </w:r>
            <w:r>
              <w:t>p</w:t>
            </w:r>
            <w:r w:rsidRPr="0084257C">
              <w:t>opulation census</w:t>
            </w:r>
          </w:p>
        </w:tc>
      </w:tr>
      <w:tr w:rsidR="007B0B32" w:rsidRPr="00DE0966" w:rsidTr="00F35CAF">
        <w:trPr>
          <w:trHeight w:val="160"/>
        </w:trPr>
        <w:tc>
          <w:tcPr>
            <w:tcW w:w="2042" w:type="dxa"/>
            <w:tcBorders>
              <w:top w:val="nil"/>
              <w:bottom w:val="single" w:sz="4" w:space="0" w:color="A3BBD5"/>
            </w:tcBorders>
            <w:shd w:val="clear" w:color="000000" w:fill="E6F0FA"/>
          </w:tcPr>
          <w:p w:rsidR="007B0B32" w:rsidRPr="00FC4C37"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7B0B32" w:rsidRPr="0084257C" w:rsidRDefault="007B0B32" w:rsidP="00F35CAF">
            <w:pPr>
              <w:pStyle w:val="IndicatorText"/>
              <w:framePr w:hSpace="0" w:wrap="auto" w:vAnchor="margin" w:hAnchor="text" w:yAlign="inline"/>
            </w:pPr>
            <w:r w:rsidRPr="008535EC">
              <w:rPr>
                <w:lang w:val="en-US"/>
              </w:rPr>
              <w:t>Countdown to 2015. Monitoring maternal, newborn and child health: understanding key progress indicators. Geneva: World Health Organization; 2011 (</w:t>
            </w:r>
            <w:r w:rsidRPr="0056160E">
              <w:rPr>
                <w:lang w:val="en-US"/>
              </w:rPr>
              <w:t>http://apps.who.int/iris/bitstream/10665/44770/1/9789241502818_eng.pdf</w:t>
            </w:r>
            <w:r w:rsidRPr="00467E32">
              <w:rPr>
                <w:lang w:val="en-US"/>
              </w:rPr>
              <w:t>, accessed 29 March 2015</w:t>
            </w:r>
            <w:r w:rsidRPr="008535EC">
              <w:rPr>
                <w:lang w:val="en-US"/>
              </w:rPr>
              <w:t xml:space="preserve">). </w:t>
            </w:r>
          </w:p>
          <w:p w:rsidR="007B0B32" w:rsidRDefault="007B0B32" w:rsidP="00F35CAF">
            <w:pPr>
              <w:pStyle w:val="IndicatorText"/>
              <w:framePr w:hSpace="0" w:wrap="auto" w:vAnchor="margin" w:hAnchor="text" w:yAlign="inline"/>
              <w:rPr>
                <w:lang w:val="en-US"/>
              </w:rPr>
            </w:pPr>
            <w:r w:rsidRPr="008535EC">
              <w:rPr>
                <w:lang w:val="en-US"/>
              </w:rPr>
              <w:t>Indicators for monitoring the Millennium Development Goals: definitions, rationale, concepts and sources. New York (NY): United Nations; 2012 (</w:t>
            </w:r>
            <w:r w:rsidRPr="0056160E">
              <w:rPr>
                <w:lang w:val="en-US"/>
              </w:rPr>
              <w:t>http://mdgs.un.org/unsd/mi/wiki/MainPage.ashx</w:t>
            </w:r>
            <w:r w:rsidRPr="008535EC">
              <w:rPr>
                <w:lang w:val="en-US"/>
              </w:rPr>
              <w:t>, accessed 29 March 2015).</w:t>
            </w:r>
          </w:p>
          <w:p w:rsidR="007B0B32" w:rsidRDefault="007B0B32" w:rsidP="00F35CAF">
            <w:pPr>
              <w:pStyle w:val="IndicatorText"/>
              <w:framePr w:hSpace="0" w:wrap="auto" w:vAnchor="margin" w:hAnchor="text" w:yAlign="inline"/>
              <w:rPr>
                <w:lang w:val="en-US"/>
              </w:rPr>
            </w:pPr>
            <w:r w:rsidRPr="008535EC">
              <w:rPr>
                <w:lang w:val="en-US"/>
              </w:rPr>
              <w:t>UN-IGME estimation method for child mortality. New York (NY):</w:t>
            </w:r>
            <w:r>
              <w:rPr>
                <w:lang w:val="en-US"/>
              </w:rPr>
              <w:t xml:space="preserve"> </w:t>
            </w:r>
            <w:r w:rsidRPr="008535EC">
              <w:rPr>
                <w:lang w:val="en-US"/>
              </w:rPr>
              <w:t>United Nations Inter-agency Group for Child Mortality Estimation; 2014 (</w:t>
            </w:r>
            <w:r w:rsidRPr="0056160E">
              <w:rPr>
                <w:lang w:val="en-US"/>
              </w:rPr>
              <w:t>http://www.who.int/entity/gho/child_health/mortality/ChildCME_method.pdf.pdf</w:t>
            </w:r>
            <w:r w:rsidRPr="008535EC">
              <w:rPr>
                <w:lang w:val="en-US"/>
              </w:rPr>
              <w:t xml:space="preserve">, accessed 29 March 2015). </w:t>
            </w:r>
          </w:p>
          <w:p w:rsidR="007B0B32" w:rsidRPr="0084257C" w:rsidRDefault="007B0B32" w:rsidP="00F35CAF">
            <w:pPr>
              <w:pStyle w:val="IndicatorText"/>
              <w:framePr w:hSpace="0" w:wrap="auto" w:vAnchor="margin" w:hAnchor="text" w:yAlign="inline"/>
            </w:pPr>
            <w:r w:rsidRPr="008535EC">
              <w:rPr>
                <w:lang w:val="en-US"/>
              </w:rPr>
              <w:t>World population prospects. New York (NY): United Nations; 2012 (</w:t>
            </w:r>
            <w:r w:rsidRPr="0056160E">
              <w:rPr>
                <w:lang w:val="en-US"/>
              </w:rPr>
              <w:t>http://esa.un.org/wpp/</w:t>
            </w:r>
            <w:r w:rsidRPr="008535EC">
              <w:rPr>
                <w:lang w:val="en-US"/>
              </w:rPr>
              <w:t xml:space="preserve">, accessed 29 March 2015). </w:t>
            </w:r>
          </w:p>
        </w:tc>
      </w:tr>
    </w:tbl>
    <w:p w:rsidR="00277801" w:rsidRPr="00277801" w:rsidRDefault="00277801" w:rsidP="00277801">
      <w:pPr>
        <w:pStyle w:val="Tablesub-heading"/>
        <w:shd w:val="clear" w:color="auto" w:fill="365F91" w:themeFill="accent1" w:themeFillShade="BF"/>
        <w:spacing w:after="0"/>
        <w:rPr>
          <w:color w:val="FFFFFF" w:themeColor="background1"/>
        </w:rPr>
      </w:pPr>
      <w:r w:rsidRPr="00277801">
        <w:rPr>
          <w:color w:val="FFFFFF" w:themeColor="background1"/>
        </w:rPr>
        <w:t>Target 3.</w:t>
      </w:r>
      <w:r>
        <w:rPr>
          <w:color w:val="FFFFFF" w:themeColor="background1"/>
        </w:rPr>
        <w:t>2</w:t>
      </w:r>
      <w:r w:rsidRPr="00277801">
        <w:rPr>
          <w:color w:val="FFFFFF" w:themeColor="background1"/>
        </w:rPr>
        <w:t xml:space="preserve">: </w:t>
      </w:r>
      <w:r>
        <w:rPr>
          <w:color w:val="FFFFFF" w:themeColor="background1"/>
        </w:rPr>
        <w:tab/>
      </w:r>
      <w:r w:rsidRPr="00277801">
        <w:rPr>
          <w:color w:val="FFFFFF" w:themeColor="background1"/>
        </w:rPr>
        <w:t>By 2030, end preventable deaths of newborns an</w:t>
      </w:r>
      <w:r>
        <w:rPr>
          <w:color w:val="FFFFFF" w:themeColor="background1"/>
        </w:rPr>
        <w:t>d children under 5 years of age</w:t>
      </w:r>
    </w:p>
    <w:p w:rsidR="007B0B32" w:rsidRDefault="00277801" w:rsidP="007B0B32">
      <w:pPr>
        <w:pStyle w:val="Tablesub-heading"/>
      </w:pPr>
      <w:r>
        <w:t>Indicator 3.2.2:</w:t>
      </w:r>
      <w:r>
        <w:tab/>
      </w:r>
      <w:r w:rsidR="007B0B32" w:rsidRPr="007B0B32">
        <w:t>Neonatal mortality per 1,000 live births</w:t>
      </w:r>
    </w:p>
    <w:tbl>
      <w:tblPr>
        <w:tblpPr w:leftFromText="180" w:rightFromText="180" w:vertAnchor="text" w:horzAnchor="margin" w:tblpY="86"/>
        <w:tblW w:w="9696" w:type="dxa"/>
        <w:tblInd w:w="57"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7B0B32" w:rsidRPr="00DE0966" w:rsidTr="00F35CAF">
        <w:trPr>
          <w:trHeight w:val="117"/>
        </w:trPr>
        <w:tc>
          <w:tcPr>
            <w:tcW w:w="2042" w:type="dxa"/>
            <w:tcBorders>
              <w:top w:val="single" w:sz="4" w:space="0" w:color="A3BBD5"/>
              <w:bottom w:val="nil"/>
            </w:tcBorders>
            <w:shd w:val="clear" w:color="000000" w:fill="E6F0FA"/>
            <w:hideMark/>
          </w:tcPr>
          <w:p w:rsidR="007B0B32" w:rsidRPr="00FC4C37" w:rsidRDefault="007B0B32" w:rsidP="00277801">
            <w:pPr>
              <w:spacing w:after="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7B0B32" w:rsidRPr="00FC4C37" w:rsidRDefault="007B0B32" w:rsidP="00277801">
            <w:pPr>
              <w:pStyle w:val="IndicatorName"/>
              <w:framePr w:hSpace="0" w:wrap="auto" w:vAnchor="margin" w:hAnchor="text" w:yAlign="inline"/>
              <w:spacing w:beforeLines="0" w:before="0" w:after="0"/>
            </w:pPr>
            <w:bookmarkStart w:id="4" w:name="_Toc418774216"/>
            <w:r w:rsidRPr="00FC4C37">
              <w:t>Neonatal mortality rate</w:t>
            </w:r>
            <w:bookmarkEnd w:id="4"/>
          </w:p>
        </w:tc>
      </w:tr>
      <w:tr w:rsidR="007B0B32" w:rsidRPr="00DE0966" w:rsidTr="00F35CAF">
        <w:trPr>
          <w:trHeight w:val="35"/>
        </w:trPr>
        <w:tc>
          <w:tcPr>
            <w:tcW w:w="2042" w:type="dxa"/>
            <w:tcBorders>
              <w:top w:val="nil"/>
              <w:bottom w:val="nil"/>
            </w:tcBorders>
            <w:shd w:val="clear" w:color="000000" w:fill="E6F0FA"/>
            <w:hideMark/>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Indicator name</w:t>
            </w:r>
          </w:p>
        </w:tc>
        <w:tc>
          <w:tcPr>
            <w:tcW w:w="7654" w:type="dxa"/>
            <w:shd w:val="clear" w:color="auto" w:fill="auto"/>
          </w:tcPr>
          <w:p w:rsidR="007B0B32" w:rsidRPr="00FC4C37" w:rsidRDefault="007B0B32" w:rsidP="00277801">
            <w:pPr>
              <w:pStyle w:val="IndicatorText"/>
              <w:framePr w:hSpace="0" w:wrap="auto" w:vAnchor="margin" w:hAnchor="text" w:yAlign="inline"/>
              <w:spacing w:before="0" w:after="0"/>
            </w:pPr>
            <w:r w:rsidRPr="00FC4C37">
              <w:t>Neonatal mortality rate (per 1000 live births)</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Domain</w:t>
            </w:r>
          </w:p>
        </w:tc>
        <w:tc>
          <w:tcPr>
            <w:tcW w:w="7654" w:type="dxa"/>
            <w:shd w:val="clear" w:color="auto" w:fill="auto"/>
          </w:tcPr>
          <w:p w:rsidR="007B0B32" w:rsidRPr="00FC4C37" w:rsidRDefault="007B0B32" w:rsidP="00277801">
            <w:pPr>
              <w:pStyle w:val="IndicatorText"/>
              <w:framePr w:hSpace="0" w:wrap="auto" w:vAnchor="margin" w:hAnchor="text" w:yAlign="inline"/>
              <w:spacing w:before="0" w:after="0"/>
            </w:pPr>
            <w:r w:rsidRPr="00FC4C37">
              <w:t>Health status</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Subdomain</w:t>
            </w:r>
          </w:p>
        </w:tc>
        <w:tc>
          <w:tcPr>
            <w:tcW w:w="7654" w:type="dxa"/>
            <w:shd w:val="clear" w:color="auto" w:fill="auto"/>
          </w:tcPr>
          <w:p w:rsidR="007B0B32" w:rsidRPr="00FC4C37" w:rsidRDefault="007B0B32" w:rsidP="00277801">
            <w:pPr>
              <w:pStyle w:val="IndicatorText"/>
              <w:framePr w:hSpace="0" w:wrap="auto" w:vAnchor="margin" w:hAnchor="text" w:yAlign="inline"/>
              <w:spacing w:before="0" w:after="0"/>
            </w:pPr>
            <w:r w:rsidRPr="00B100CA">
              <w:t xml:space="preserve">Reproductive, </w:t>
            </w:r>
            <w:r>
              <w:t>m</w:t>
            </w:r>
            <w:r w:rsidRPr="00B100CA">
              <w:t xml:space="preserve">aternal, </w:t>
            </w:r>
            <w:r>
              <w:t>n</w:t>
            </w:r>
            <w:r w:rsidRPr="00B100CA">
              <w:t xml:space="preserve">ewborn, </w:t>
            </w:r>
            <w:r>
              <w:t>c</w:t>
            </w:r>
            <w:r w:rsidRPr="00B100CA">
              <w:t xml:space="preserve">hild and </w:t>
            </w:r>
            <w:r>
              <w:t>a</w:t>
            </w:r>
            <w:r w:rsidRPr="00B100CA">
              <w:t xml:space="preserve">dolescent </w:t>
            </w:r>
            <w:r>
              <w:t>h</w:t>
            </w:r>
            <w:r w:rsidRPr="00B100CA">
              <w:t>ealth</w:t>
            </w:r>
            <w:r>
              <w:t xml:space="preserve"> </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Associated terms</w:t>
            </w:r>
          </w:p>
        </w:tc>
        <w:tc>
          <w:tcPr>
            <w:tcW w:w="7654" w:type="dxa"/>
            <w:shd w:val="clear" w:color="auto" w:fill="auto"/>
          </w:tcPr>
          <w:p w:rsidR="007B0B32" w:rsidRPr="00FC4C37" w:rsidRDefault="007B0B32" w:rsidP="00277801">
            <w:pPr>
              <w:pStyle w:val="IndicatorText"/>
              <w:framePr w:hSpace="0" w:wrap="auto" w:vAnchor="margin" w:hAnchor="text" w:yAlign="inline"/>
              <w:spacing w:before="0" w:after="0"/>
            </w:pPr>
            <w:r w:rsidRPr="00FC4C37">
              <w:t>Mortality by age and sex</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Definition</w:t>
            </w:r>
          </w:p>
        </w:tc>
        <w:tc>
          <w:tcPr>
            <w:tcW w:w="7654" w:type="dxa"/>
            <w:shd w:val="clear" w:color="auto" w:fill="auto"/>
          </w:tcPr>
          <w:p w:rsidR="007B0B32" w:rsidRDefault="007B0B32" w:rsidP="00277801">
            <w:pPr>
              <w:pStyle w:val="IndicatorText"/>
              <w:framePr w:hSpace="0" w:wrap="auto" w:vAnchor="margin" w:hAnchor="text" w:yAlign="inline"/>
              <w:spacing w:before="0" w:after="0"/>
            </w:pPr>
            <w:r w:rsidRPr="000F77C1">
              <w:rPr>
                <w:rFonts w:ascii="Calibri" w:eastAsia="Times New Roman" w:hAnsi="Calibri" w:cs="Calibri"/>
                <w:szCs w:val="16"/>
              </w:rPr>
              <w:t xml:space="preserve">Probability </w:t>
            </w:r>
            <w:r>
              <w:rPr>
                <w:rFonts w:ascii="Calibri" w:eastAsia="Times New Roman" w:hAnsi="Calibri" w:cs="Calibri"/>
                <w:szCs w:val="16"/>
              </w:rPr>
              <w:t>that</w:t>
            </w:r>
            <w:r w:rsidRPr="000F77C1">
              <w:rPr>
                <w:rFonts w:ascii="Calibri" w:eastAsia="Times New Roman" w:hAnsi="Calibri" w:cs="Calibri"/>
                <w:szCs w:val="16"/>
              </w:rPr>
              <w:t xml:space="preserve"> a child born in a specific year or period </w:t>
            </w:r>
            <w:r>
              <w:rPr>
                <w:rFonts w:ascii="Calibri" w:eastAsia="Times New Roman" w:hAnsi="Calibri" w:cs="Calibri"/>
                <w:szCs w:val="16"/>
              </w:rPr>
              <w:t>will die</w:t>
            </w:r>
            <w:r w:rsidRPr="000F77C1">
              <w:rPr>
                <w:rFonts w:ascii="Calibri" w:eastAsia="Times New Roman" w:hAnsi="Calibri" w:cs="Calibri"/>
                <w:szCs w:val="16"/>
              </w:rPr>
              <w:t xml:space="preserve"> during the first 28 completed days of life if subject to age-specific mortality rates of that period, expressed per </w:t>
            </w:r>
            <w:r>
              <w:rPr>
                <w:rFonts w:ascii="Calibri" w:eastAsia="Times New Roman" w:hAnsi="Calibri" w:cs="Calibri"/>
                <w:szCs w:val="16"/>
              </w:rPr>
              <w:t>1000</w:t>
            </w:r>
            <w:r w:rsidRPr="000F77C1">
              <w:rPr>
                <w:rFonts w:ascii="Calibri" w:eastAsia="Times New Roman" w:hAnsi="Calibri" w:cs="Calibri"/>
                <w:szCs w:val="16"/>
              </w:rPr>
              <w:t xml:space="preserve"> live births</w:t>
            </w:r>
            <w:r>
              <w:rPr>
                <w:rFonts w:ascii="Calibri" w:eastAsia="Times New Roman" w:hAnsi="Calibri" w:cs="Calibri"/>
                <w:szCs w:val="16"/>
              </w:rPr>
              <w:t>.</w:t>
            </w:r>
          </w:p>
          <w:p w:rsidR="007B0B32" w:rsidRPr="00FC4C37" w:rsidRDefault="007B0B32" w:rsidP="00277801">
            <w:pPr>
              <w:pStyle w:val="IndicatorText"/>
              <w:framePr w:hSpace="0" w:wrap="auto" w:vAnchor="margin" w:hAnchor="text" w:yAlign="inline"/>
              <w:spacing w:before="0" w:after="0"/>
            </w:pPr>
            <w:r w:rsidRPr="00FC4C37">
              <w:t>Neonatal deaths (deaths among live births during the first 28 completed days of life) may be subdivided into early neonatal deaths, occurring during the first 7 days of life, and late neonatal deaths, occurring after the 7th day but before the 28th completed day of life.</w:t>
            </w:r>
          </w:p>
        </w:tc>
      </w:tr>
      <w:tr w:rsidR="007B0B32" w:rsidRPr="00DE0966" w:rsidTr="00F35CAF">
        <w:trPr>
          <w:trHeight w:val="23"/>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Numerator</w:t>
            </w:r>
          </w:p>
        </w:tc>
        <w:tc>
          <w:tcPr>
            <w:tcW w:w="7654" w:type="dxa"/>
            <w:shd w:val="clear" w:color="auto" w:fill="auto"/>
          </w:tcPr>
          <w:p w:rsidR="007B0B32" w:rsidRPr="00FC4C37" w:rsidRDefault="007B0B32" w:rsidP="00277801">
            <w:pPr>
              <w:pStyle w:val="IndicatorText"/>
              <w:framePr w:hSpace="0" w:wrap="auto" w:vAnchor="margin" w:hAnchor="text" w:yAlign="inline"/>
              <w:spacing w:before="0" w:after="0"/>
            </w:pPr>
            <w:r>
              <w:t>Number of</w:t>
            </w:r>
            <w:r w:rsidRPr="00FC4C37">
              <w:t xml:space="preserve"> children who died during the first 28 days of life</w:t>
            </w:r>
            <w:r>
              <w:t>.</w:t>
            </w:r>
          </w:p>
        </w:tc>
      </w:tr>
      <w:tr w:rsidR="007B0B32" w:rsidRPr="00DE0966" w:rsidTr="00F35CAF">
        <w:trPr>
          <w:trHeight w:val="62"/>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Denominator</w:t>
            </w:r>
          </w:p>
        </w:tc>
        <w:tc>
          <w:tcPr>
            <w:tcW w:w="7654" w:type="dxa"/>
            <w:shd w:val="clear" w:color="auto" w:fill="auto"/>
          </w:tcPr>
          <w:p w:rsidR="007B0B32" w:rsidRPr="00FC4C37" w:rsidRDefault="007B0B32" w:rsidP="00277801">
            <w:pPr>
              <w:pStyle w:val="IndicatorText"/>
              <w:framePr w:hSpace="0" w:wrap="auto" w:vAnchor="margin" w:hAnchor="text" w:yAlign="inline"/>
              <w:spacing w:before="0" w:after="0"/>
            </w:pPr>
            <w:r>
              <w:t>Number of</w:t>
            </w:r>
            <w:r w:rsidRPr="00FC4C37">
              <w:t xml:space="preserve"> live births (years of exposure)</w:t>
            </w:r>
            <w:r>
              <w:t>.</w:t>
            </w:r>
          </w:p>
        </w:tc>
      </w:tr>
      <w:tr w:rsidR="007B0B32" w:rsidRPr="00DE0966" w:rsidTr="00F35CAF">
        <w:trPr>
          <w:trHeight w:val="268"/>
        </w:trPr>
        <w:tc>
          <w:tcPr>
            <w:tcW w:w="2042" w:type="dxa"/>
            <w:tcBorders>
              <w:top w:val="nil"/>
              <w:bottom w:val="nil"/>
            </w:tcBorders>
            <w:shd w:val="clear" w:color="000000" w:fill="E6F0FA"/>
          </w:tcPr>
          <w:p w:rsidR="007B0B32" w:rsidRPr="00FC4C37" w:rsidRDefault="007B0B32" w:rsidP="00277801">
            <w:pPr>
              <w:spacing w:after="0"/>
              <w:rPr>
                <w:rFonts w:eastAsia="Times New Roman" w:cstheme="minorHAnsi"/>
                <w:color w:val="003366"/>
                <w:sz w:val="16"/>
                <w:szCs w:val="16"/>
              </w:rPr>
            </w:pPr>
            <w:r w:rsidRPr="00FC4C37">
              <w:rPr>
                <w:rFonts w:eastAsia="Times New Roman" w:cstheme="minorHAnsi"/>
                <w:color w:val="003366"/>
                <w:sz w:val="16"/>
                <w:szCs w:val="16"/>
              </w:rPr>
              <w:t>Disaggregation/</w:t>
            </w:r>
            <w:r w:rsidRPr="00FC4C37">
              <w:rPr>
                <w:rFonts w:eastAsia="Times New Roman" w:cstheme="minorHAnsi"/>
                <w:color w:val="003366"/>
                <w:sz w:val="16"/>
                <w:szCs w:val="16"/>
              </w:rPr>
              <w:br/>
              <w:t>additional dimension</w:t>
            </w:r>
          </w:p>
        </w:tc>
        <w:tc>
          <w:tcPr>
            <w:tcW w:w="7654" w:type="dxa"/>
            <w:shd w:val="clear" w:color="auto" w:fill="auto"/>
          </w:tcPr>
          <w:p w:rsidR="007B0B32" w:rsidRPr="00FC4C37" w:rsidRDefault="007B0B32" w:rsidP="00277801">
            <w:pPr>
              <w:pStyle w:val="IndicatorText"/>
              <w:framePr w:hSpace="0" w:wrap="auto" w:vAnchor="margin" w:hAnchor="text" w:yAlign="inline"/>
              <w:spacing w:before="0" w:after="0"/>
            </w:pPr>
            <w:r>
              <w:t>A</w:t>
            </w:r>
            <w:r w:rsidRPr="00FC4C37">
              <w:t xml:space="preserve">ge in days/weeks, </w:t>
            </w:r>
            <w:r>
              <w:t>b</w:t>
            </w:r>
            <w:r w:rsidRPr="00FC4C37">
              <w:t>irth</w:t>
            </w:r>
            <w:r>
              <w:t xml:space="preserve"> </w:t>
            </w:r>
            <w:r w:rsidRPr="00FC4C37">
              <w:t>weight</w:t>
            </w:r>
            <w:r>
              <w:t>,</w:t>
            </w:r>
            <w:r w:rsidRPr="00FC4C37">
              <w:t xml:space="preserve"> </w:t>
            </w:r>
            <w:r>
              <w:t>p</w:t>
            </w:r>
            <w:r w:rsidRPr="00FC4C37">
              <w:t>lace of residence,</w:t>
            </w:r>
            <w:r>
              <w:t xml:space="preserve"> s</w:t>
            </w:r>
            <w:r w:rsidRPr="00FC4C37">
              <w:t>ex</w:t>
            </w:r>
            <w:r>
              <w:t>,</w:t>
            </w:r>
            <w:r w:rsidRPr="00FC4C37">
              <w:t xml:space="preserve"> </w:t>
            </w:r>
            <w:r>
              <w:t>s</w:t>
            </w:r>
            <w:r w:rsidRPr="00FC4C37">
              <w:t xml:space="preserve">ocioeconomic status </w:t>
            </w:r>
          </w:p>
        </w:tc>
      </w:tr>
      <w:tr w:rsidR="007B0B32" w:rsidRPr="00DE0966" w:rsidTr="00F35CAF">
        <w:trPr>
          <w:trHeight w:val="122"/>
        </w:trPr>
        <w:tc>
          <w:tcPr>
            <w:tcW w:w="2042" w:type="dxa"/>
            <w:tcBorders>
              <w:top w:val="nil"/>
              <w:bottom w:val="nil"/>
            </w:tcBorders>
            <w:shd w:val="clear" w:color="000000" w:fill="E6F0FA"/>
          </w:tcPr>
          <w:p w:rsidR="007B0B32" w:rsidRPr="00FC4C37" w:rsidRDefault="007B0B32" w:rsidP="00F35CAF">
            <w:pPr>
              <w:spacing w:before="80" w:after="80"/>
              <w:rPr>
                <w:rFonts w:eastAsia="Times New Roman" w:cstheme="minorHAnsi"/>
                <w:color w:val="003366"/>
                <w:sz w:val="16"/>
                <w:szCs w:val="16"/>
              </w:rPr>
            </w:pPr>
            <w:r w:rsidRPr="00FC4C37">
              <w:rPr>
                <w:rFonts w:eastAsia="Times New Roman" w:cstheme="minorHAnsi"/>
                <w:color w:val="003366"/>
                <w:sz w:val="16"/>
                <w:szCs w:val="16"/>
              </w:rPr>
              <w:t>Method of measurement</w:t>
            </w:r>
          </w:p>
        </w:tc>
        <w:tc>
          <w:tcPr>
            <w:tcW w:w="7654" w:type="dxa"/>
            <w:shd w:val="clear" w:color="auto" w:fill="auto"/>
          </w:tcPr>
          <w:p w:rsidR="007B0B32" w:rsidRDefault="007B0B32" w:rsidP="00F35CAF">
            <w:pPr>
              <w:pStyle w:val="IndicatorText"/>
              <w:framePr w:hSpace="0" w:wrap="auto" w:vAnchor="margin" w:hAnchor="text" w:yAlign="inline"/>
            </w:pPr>
            <w:r w:rsidRPr="00FC4C37">
              <w:rPr>
                <w:u w:val="single"/>
              </w:rPr>
              <w:t>Data from civil registration</w:t>
            </w:r>
            <w:r w:rsidRPr="00FC4C37">
              <w:t>: The number of live births and the number of neonatal deaths are used to calculate age-specific rates. This system provides annual data.</w:t>
            </w:r>
          </w:p>
          <w:p w:rsidR="007B0B32" w:rsidRPr="00FC4C37" w:rsidRDefault="007B0B32" w:rsidP="00F35CAF">
            <w:pPr>
              <w:pStyle w:val="IndicatorText"/>
              <w:framePr w:hSpace="0" w:wrap="auto" w:vAnchor="margin" w:hAnchor="text" w:yAlign="inline"/>
            </w:pPr>
            <w:r w:rsidRPr="00FC4C37">
              <w:rPr>
                <w:u w:val="single"/>
              </w:rPr>
              <w:t>Data from household surveys</w:t>
            </w:r>
            <w:r w:rsidRPr="00FC4C37">
              <w:t xml:space="preserve">: Calculations are based on full birth history, whereby women are asked for the date of birth of each of their children, whether </w:t>
            </w:r>
            <w:r>
              <w:t>each</w:t>
            </w:r>
            <w:r w:rsidRPr="00FC4C37">
              <w:t xml:space="preserve"> child is still alive and if not the age at death.</w:t>
            </w:r>
          </w:p>
        </w:tc>
      </w:tr>
      <w:tr w:rsidR="007B0B32" w:rsidRPr="00DE0966" w:rsidTr="00F35CAF">
        <w:trPr>
          <w:trHeight w:val="160"/>
        </w:trPr>
        <w:tc>
          <w:tcPr>
            <w:tcW w:w="2042" w:type="dxa"/>
            <w:tcBorders>
              <w:top w:val="nil"/>
              <w:bottom w:val="nil"/>
            </w:tcBorders>
            <w:shd w:val="clear" w:color="000000" w:fill="E6F0FA"/>
          </w:tcPr>
          <w:p w:rsidR="007B0B32" w:rsidRPr="00FC4C37" w:rsidRDefault="007B0B32" w:rsidP="00F35CAF">
            <w:pPr>
              <w:spacing w:before="80" w:after="80"/>
              <w:rPr>
                <w:rFonts w:eastAsia="Times New Roman" w:cstheme="minorHAnsi"/>
                <w:color w:val="003366"/>
                <w:sz w:val="16"/>
                <w:szCs w:val="16"/>
              </w:rPr>
            </w:pPr>
            <w:r w:rsidRPr="00FC4C37">
              <w:rPr>
                <w:rFonts w:eastAsia="Times New Roman" w:cstheme="minorHAnsi"/>
                <w:color w:val="003366"/>
                <w:sz w:val="16"/>
                <w:szCs w:val="16"/>
              </w:rPr>
              <w:t>Method of estimation</w:t>
            </w:r>
          </w:p>
        </w:tc>
        <w:tc>
          <w:tcPr>
            <w:tcW w:w="7654" w:type="dxa"/>
            <w:shd w:val="clear" w:color="auto" w:fill="auto"/>
          </w:tcPr>
          <w:p w:rsidR="007B0B32" w:rsidRDefault="007B0B32" w:rsidP="00F35CAF">
            <w:pPr>
              <w:pStyle w:val="IndicatorText"/>
              <w:framePr w:hSpace="0" w:wrap="auto" w:vAnchor="margin" w:hAnchor="text" w:yAlign="inline"/>
            </w:pPr>
            <w:r w:rsidRPr="00FC4C37">
              <w:t>To ensure consistency with mortality rates in children younger than 5 years (</w:t>
            </w:r>
            <w:r>
              <w:t>under-five mortality rate</w:t>
            </w:r>
            <w:r w:rsidRPr="00FC4C37">
              <w:t xml:space="preserve">) produced by the </w:t>
            </w:r>
            <w:r>
              <w:t>UN-</w:t>
            </w:r>
            <w:r w:rsidRPr="00FC4C37">
              <w:t xml:space="preserve">IGME and to account for variation in survey-to-survey measurement errors, country data points for </w:t>
            </w:r>
            <w:r>
              <w:t xml:space="preserve">the </w:t>
            </w:r>
            <w:r w:rsidRPr="005747D0">
              <w:t>under-</w:t>
            </w:r>
            <w:r>
              <w:t>five</w:t>
            </w:r>
            <w:r w:rsidRPr="005747D0">
              <w:t xml:space="preserve"> </w:t>
            </w:r>
            <w:r w:rsidRPr="00FC4C37">
              <w:t>and neonatal mortality rate</w:t>
            </w:r>
            <w:r>
              <w:t>s</w:t>
            </w:r>
            <w:r w:rsidRPr="00FC4C37">
              <w:t xml:space="preserve"> were rescaled for all years to match the latest time series estimates of </w:t>
            </w:r>
            <w:r>
              <w:t>the under-five mortality rate</w:t>
            </w:r>
            <w:r w:rsidRPr="00FC4C37">
              <w:t xml:space="preserve"> produced by </w:t>
            </w:r>
            <w:r>
              <w:t>UN-</w:t>
            </w:r>
            <w:r w:rsidRPr="00FC4C37">
              <w:t>IGME. This rescaling assumes that the proportionate measurement error in</w:t>
            </w:r>
            <w:r>
              <w:t xml:space="preserve"> </w:t>
            </w:r>
            <w:r w:rsidRPr="00FC4C37">
              <w:t xml:space="preserve">neonatal </w:t>
            </w:r>
            <w:r>
              <w:t xml:space="preserve">and under-five </w:t>
            </w:r>
            <w:r w:rsidRPr="00FC4C37">
              <w:t>mortality rate</w:t>
            </w:r>
            <w:r>
              <w:t>s</w:t>
            </w:r>
            <w:r w:rsidRPr="00FC4C37" w:rsidDel="005747D0">
              <w:t xml:space="preserve"> </w:t>
            </w:r>
            <w:r w:rsidRPr="00FC4C37">
              <w:t>is equal for each data point.</w:t>
            </w:r>
          </w:p>
          <w:p w:rsidR="007B0B32" w:rsidRDefault="007B0B32" w:rsidP="00F35CAF">
            <w:pPr>
              <w:pStyle w:val="IndicatorText"/>
              <w:framePr w:hSpace="0" w:wrap="auto" w:vAnchor="margin" w:hAnchor="text" w:yAlign="inline"/>
            </w:pPr>
            <w:r w:rsidRPr="00FC4C37">
              <w:t>The following multilevel statistical model was then applied to estimate neonatal mortality rates:</w:t>
            </w:r>
            <w:r>
              <w:t xml:space="preserve"> </w:t>
            </w:r>
            <w:r w:rsidRPr="00FC4C37">
              <w:t>log (neonatal mortality rate/1000) = α0 + β1*log(</w:t>
            </w:r>
            <w:r>
              <w:t>under-five mortality rate</w:t>
            </w:r>
            <w:r w:rsidRPr="00FC4C37">
              <w:t>/1000) +</w:t>
            </w:r>
            <w:r>
              <w:t xml:space="preserve"> </w:t>
            </w:r>
            <w:r w:rsidRPr="00FC4C37">
              <w:t>β2*([log(</w:t>
            </w:r>
            <w:r>
              <w:t>under-five mortality rate</w:t>
            </w:r>
            <w:r w:rsidRPr="00FC4C37">
              <w:t>/1000)]</w:t>
            </w:r>
            <w:r>
              <w:t xml:space="preserve"> </w:t>
            </w:r>
            <w:r w:rsidRPr="0065733B">
              <w:rPr>
                <w:sz w:val="14"/>
                <w:szCs w:val="14"/>
                <w:vertAlign w:val="superscript"/>
              </w:rPr>
              <w:t>2</w:t>
            </w:r>
            <w:r>
              <w:rPr>
                <w:sz w:val="14"/>
                <w:szCs w:val="14"/>
              </w:rPr>
              <w:t xml:space="preserve"> </w:t>
            </w:r>
            <w:r w:rsidRPr="00FC4C37">
              <w:t>)</w:t>
            </w:r>
            <w:r>
              <w:t xml:space="preserve"> </w:t>
            </w:r>
            <w:r w:rsidRPr="00FC4C37">
              <w:t xml:space="preserve">with random effects parameters or both level and trend regression parameters, and random effects parameters influenced by </w:t>
            </w:r>
            <w:r>
              <w:t xml:space="preserve">the </w:t>
            </w:r>
            <w:r w:rsidRPr="00FC4C37">
              <w:t>country itself.</w:t>
            </w:r>
          </w:p>
          <w:p w:rsidR="007B0B32" w:rsidRDefault="007B0B32" w:rsidP="00F35CAF">
            <w:pPr>
              <w:pStyle w:val="IndicatorText"/>
              <w:framePr w:hSpace="0" w:wrap="auto" w:vAnchor="margin" w:hAnchor="text" w:yAlign="inline"/>
            </w:pPr>
            <w:r w:rsidRPr="00FC4C37">
              <w:t>For count</w:t>
            </w:r>
            <w:r>
              <w:t>r</w:t>
            </w:r>
            <w:r w:rsidRPr="00FC4C37">
              <w:t>ies with high</w:t>
            </w:r>
            <w:r>
              <w:t>-</w:t>
            </w:r>
            <w:r w:rsidRPr="00FC4C37">
              <w:t>quality civil registration data for neonatal deaths</w:t>
            </w:r>
            <w:r>
              <w:t xml:space="preserve"> –</w:t>
            </w:r>
            <w:r w:rsidRPr="00FC4C37">
              <w:t xml:space="preserve"> defined as </w:t>
            </w:r>
            <w:r>
              <w:t>(</w:t>
            </w:r>
            <w:r w:rsidRPr="00FC4C37">
              <w:t>i) 100% complete for adults</w:t>
            </w:r>
            <w:r>
              <w:t xml:space="preserve"> </w:t>
            </w:r>
            <w:r w:rsidRPr="00FC4C37">
              <w:t>and only civil registration data is used for child mortality</w:t>
            </w:r>
            <w:r>
              <w:t>,</w:t>
            </w:r>
            <w:r w:rsidRPr="00FC4C37">
              <w:t xml:space="preserve"> </w:t>
            </w:r>
            <w:r>
              <w:t>(</w:t>
            </w:r>
            <w:r w:rsidRPr="00FC4C37">
              <w:t>ii) population greater than 800</w:t>
            </w:r>
            <w:r>
              <w:t> </w:t>
            </w:r>
            <w:r w:rsidRPr="00FC4C37">
              <w:t>000</w:t>
            </w:r>
            <w:r>
              <w:t>,</w:t>
            </w:r>
            <w:r w:rsidRPr="00FC4C37">
              <w:t xml:space="preserve"> </w:t>
            </w:r>
            <w:r>
              <w:t>(</w:t>
            </w:r>
            <w:r w:rsidRPr="00FC4C37">
              <w:t xml:space="preserve">iii) and with at least </w:t>
            </w:r>
            <w:r>
              <w:t>three</w:t>
            </w:r>
            <w:r w:rsidRPr="00FC4C37">
              <w:t xml:space="preserve"> civil registration data points for </w:t>
            </w:r>
            <w:r>
              <w:t>the periods</w:t>
            </w:r>
            <w:r w:rsidRPr="00FC4C37">
              <w:t xml:space="preserve"> 1990</w:t>
            </w:r>
            <w:r>
              <w:sym w:font="Symbol" w:char="F02D"/>
            </w:r>
            <w:r w:rsidRPr="00FC4C37">
              <w:t>1994, 1995</w:t>
            </w:r>
            <w:r>
              <w:sym w:font="Symbol" w:char="F02D"/>
            </w:r>
            <w:r w:rsidRPr="00FC4C37">
              <w:t>1999, 2000</w:t>
            </w:r>
            <w:r>
              <w:sym w:font="Symbol" w:char="F02D"/>
            </w:r>
            <w:r w:rsidRPr="00FC4C37">
              <w:t>2004</w:t>
            </w:r>
            <w:r>
              <w:t xml:space="preserve"> and</w:t>
            </w:r>
            <w:r w:rsidRPr="00FC4C37">
              <w:t xml:space="preserve"> 2005 onwards</w:t>
            </w:r>
            <w:r>
              <w:t xml:space="preserve"> – we </w:t>
            </w:r>
            <w:r w:rsidRPr="00FC4C37">
              <w:t xml:space="preserve">used the same basic equation, but with random effects parameters for both level and trend regression parameters, and random effects parameters influenced by </w:t>
            </w:r>
            <w:r>
              <w:t>the country itself.</w:t>
            </w:r>
          </w:p>
          <w:p w:rsidR="007B0B32" w:rsidRDefault="007B0B32" w:rsidP="00F35CAF">
            <w:pPr>
              <w:pStyle w:val="IndicatorText"/>
              <w:framePr w:hSpace="0" w:wrap="auto" w:vAnchor="margin" w:hAnchor="text" w:yAlign="inline"/>
            </w:pPr>
            <w:r w:rsidRPr="00FC4C37">
              <w:t>Predominant type of statistics: adjusted and predicted</w:t>
            </w:r>
            <w:r>
              <w:t>.</w:t>
            </w:r>
          </w:p>
          <w:p w:rsidR="007B0B32" w:rsidRPr="00FC4C37" w:rsidRDefault="007B0B32" w:rsidP="00F35CAF">
            <w:pPr>
              <w:pStyle w:val="IndicatorText"/>
              <w:framePr w:hSpace="0" w:wrap="auto" w:vAnchor="margin" w:hAnchor="text" w:yAlign="inline"/>
              <w:rPr>
                <w:sz w:val="20"/>
                <w:szCs w:val="20"/>
              </w:rPr>
            </w:pPr>
            <w:r w:rsidRPr="00FC4C37">
              <w:t>These neonatal rates are estimates, derived from the estimated UN</w:t>
            </w:r>
            <w:r>
              <w:t>-</w:t>
            </w:r>
            <w:r w:rsidRPr="00FC4C37">
              <w:t xml:space="preserve">IGME neonatal rate infant population for </w:t>
            </w:r>
            <w:r w:rsidRPr="00443DF6">
              <w:rPr>
                <w:i/>
              </w:rPr>
              <w:t>World population prospects</w:t>
            </w:r>
            <w:r w:rsidRPr="00FC4C37">
              <w:t xml:space="preserve"> to calculate the live births; hence they are not necessarily the same as the official national statistics.</w:t>
            </w:r>
          </w:p>
        </w:tc>
      </w:tr>
      <w:tr w:rsidR="007B0B32" w:rsidRPr="00DE0966" w:rsidTr="00F35CAF">
        <w:trPr>
          <w:trHeight w:val="224"/>
        </w:trPr>
        <w:tc>
          <w:tcPr>
            <w:tcW w:w="2042" w:type="dxa"/>
            <w:tcBorders>
              <w:top w:val="nil"/>
              <w:bottom w:val="nil"/>
            </w:tcBorders>
            <w:shd w:val="clear" w:color="000000" w:fill="E6F0FA"/>
          </w:tcPr>
          <w:p w:rsidR="007B0B32" w:rsidRPr="00FC4C37" w:rsidRDefault="007B0B32" w:rsidP="00F35CAF">
            <w:pPr>
              <w:spacing w:before="40" w:after="40"/>
              <w:rPr>
                <w:rFonts w:eastAsia="Times New Roman" w:cstheme="minorHAnsi"/>
                <w:color w:val="003366"/>
                <w:sz w:val="16"/>
                <w:szCs w:val="16"/>
              </w:rPr>
            </w:pPr>
            <w:r w:rsidRPr="00FC4C37">
              <w:rPr>
                <w:rFonts w:eastAsia="Times New Roman" w:cstheme="minorHAnsi"/>
                <w:color w:val="003366"/>
                <w:sz w:val="16"/>
                <w:szCs w:val="16"/>
              </w:rPr>
              <w:t>Measurement frequency</w:t>
            </w:r>
          </w:p>
        </w:tc>
        <w:tc>
          <w:tcPr>
            <w:tcW w:w="7654" w:type="dxa"/>
            <w:shd w:val="clear" w:color="auto" w:fill="auto"/>
          </w:tcPr>
          <w:p w:rsidR="007B0B32" w:rsidRPr="00FC4C37" w:rsidRDefault="007B0B32" w:rsidP="00F35CAF">
            <w:pPr>
              <w:pStyle w:val="IndicatorText"/>
              <w:framePr w:hSpace="0" w:wrap="auto" w:vAnchor="margin" w:hAnchor="text" w:yAlign="inline"/>
              <w:spacing w:before="40" w:after="40"/>
            </w:pPr>
            <w:r w:rsidRPr="00FC4C37">
              <w:t>Annual if based on registration system; otherwise, less frequent (3</w:t>
            </w:r>
            <w:r>
              <w:sym w:font="Symbol" w:char="F02D"/>
            </w:r>
            <w:r w:rsidRPr="00FC4C37">
              <w:t>5 years based on surveys)</w:t>
            </w:r>
          </w:p>
        </w:tc>
      </w:tr>
      <w:tr w:rsidR="007B0B32" w:rsidRPr="00DE0966" w:rsidTr="00F35CAF">
        <w:trPr>
          <w:trHeight w:val="159"/>
        </w:trPr>
        <w:tc>
          <w:tcPr>
            <w:tcW w:w="2042" w:type="dxa"/>
            <w:tcBorders>
              <w:top w:val="nil"/>
              <w:bottom w:val="nil"/>
            </w:tcBorders>
            <w:shd w:val="clear" w:color="000000" w:fill="E6F0FA"/>
          </w:tcPr>
          <w:p w:rsidR="007B0B32" w:rsidRPr="00FC4C37" w:rsidRDefault="007B0B32" w:rsidP="00F35CAF">
            <w:pPr>
              <w:spacing w:before="40" w:after="40"/>
              <w:rPr>
                <w:rFonts w:eastAsia="Times New Roman" w:cstheme="minorHAnsi"/>
                <w:color w:val="003366"/>
                <w:sz w:val="16"/>
                <w:szCs w:val="16"/>
              </w:rPr>
            </w:pPr>
            <w:r w:rsidRPr="00B740DC">
              <w:rPr>
                <w:rFonts w:eastAsia="Times New Roman" w:cstheme="minorHAnsi"/>
                <w:color w:val="003366"/>
                <w:sz w:val="16"/>
                <w:szCs w:val="16"/>
              </w:rPr>
              <w:t xml:space="preserve">Monitoring and evaluation </w:t>
            </w:r>
            <w:r w:rsidRPr="00FC4C37">
              <w:rPr>
                <w:rFonts w:eastAsia="Times New Roman" w:cstheme="minorHAnsi"/>
                <w:color w:val="003366"/>
                <w:sz w:val="16"/>
                <w:szCs w:val="16"/>
              </w:rPr>
              <w:t>framework</w:t>
            </w:r>
          </w:p>
        </w:tc>
        <w:tc>
          <w:tcPr>
            <w:tcW w:w="7654" w:type="dxa"/>
            <w:shd w:val="clear" w:color="auto" w:fill="auto"/>
          </w:tcPr>
          <w:p w:rsidR="007B0B32" w:rsidRPr="00FC4C37" w:rsidRDefault="007B0B32" w:rsidP="00F35CAF">
            <w:pPr>
              <w:pStyle w:val="IndicatorText"/>
              <w:framePr w:hSpace="0" w:wrap="auto" w:vAnchor="margin" w:hAnchor="text" w:yAlign="inline"/>
              <w:spacing w:before="40" w:after="40"/>
            </w:pPr>
            <w:r w:rsidRPr="00FC4C37">
              <w:t>Impact</w:t>
            </w:r>
          </w:p>
        </w:tc>
      </w:tr>
      <w:tr w:rsidR="007B0B32" w:rsidRPr="00DE0966" w:rsidTr="00F35CAF">
        <w:trPr>
          <w:trHeight w:val="82"/>
        </w:trPr>
        <w:tc>
          <w:tcPr>
            <w:tcW w:w="2042" w:type="dxa"/>
            <w:tcBorders>
              <w:top w:val="nil"/>
              <w:bottom w:val="nil"/>
            </w:tcBorders>
            <w:shd w:val="clear" w:color="000000" w:fill="E6F0FA"/>
          </w:tcPr>
          <w:p w:rsidR="007B0B32" w:rsidRPr="00FC4C37" w:rsidRDefault="007B0B32" w:rsidP="00F35CAF">
            <w:pPr>
              <w:spacing w:before="40" w:after="40"/>
              <w:rPr>
                <w:rFonts w:eastAsia="Times New Roman" w:cstheme="minorHAnsi"/>
                <w:color w:val="003366"/>
                <w:sz w:val="16"/>
                <w:szCs w:val="16"/>
              </w:rPr>
            </w:pPr>
            <w:r w:rsidRPr="00FC4C37">
              <w:rPr>
                <w:rFonts w:eastAsia="Times New Roman" w:cstheme="minorHAnsi"/>
                <w:color w:val="003366"/>
                <w:sz w:val="16"/>
                <w:szCs w:val="16"/>
              </w:rPr>
              <w:t>Preferred data sources</w:t>
            </w:r>
          </w:p>
        </w:tc>
        <w:tc>
          <w:tcPr>
            <w:tcW w:w="7654" w:type="dxa"/>
            <w:shd w:val="clear" w:color="auto" w:fill="auto"/>
          </w:tcPr>
          <w:p w:rsidR="007B0B32" w:rsidRPr="00FC4C37" w:rsidRDefault="007B0B32" w:rsidP="00F35CAF">
            <w:pPr>
              <w:pStyle w:val="IndicatorText"/>
              <w:framePr w:hSpace="0" w:wrap="auto" w:vAnchor="margin" w:hAnchor="text" w:yAlign="inline"/>
              <w:spacing w:before="40" w:after="40"/>
            </w:pPr>
            <w:r w:rsidRPr="00FC4C37">
              <w:t>Civil registration with high coverage</w:t>
            </w:r>
          </w:p>
        </w:tc>
      </w:tr>
      <w:tr w:rsidR="007B0B32" w:rsidRPr="00DE0966" w:rsidTr="00F35CAF">
        <w:trPr>
          <w:trHeight w:val="160"/>
        </w:trPr>
        <w:tc>
          <w:tcPr>
            <w:tcW w:w="2042" w:type="dxa"/>
            <w:tcBorders>
              <w:top w:val="nil"/>
              <w:bottom w:val="nil"/>
            </w:tcBorders>
            <w:shd w:val="clear" w:color="000000" w:fill="E6F0FA"/>
          </w:tcPr>
          <w:p w:rsidR="007B0B32" w:rsidRPr="00FC4C37" w:rsidRDefault="007B0B32" w:rsidP="00F35CAF">
            <w:pPr>
              <w:spacing w:before="40" w:after="40"/>
              <w:rPr>
                <w:rFonts w:eastAsia="Times New Roman" w:cstheme="minorHAnsi"/>
                <w:color w:val="003366"/>
                <w:sz w:val="16"/>
                <w:szCs w:val="16"/>
              </w:rPr>
            </w:pPr>
            <w:r w:rsidRPr="00FC4C37">
              <w:rPr>
                <w:rFonts w:eastAsia="Times New Roman" w:cstheme="minorHAnsi"/>
                <w:color w:val="003366"/>
                <w:sz w:val="16"/>
                <w:szCs w:val="16"/>
              </w:rPr>
              <w:t>Other possible data sources</w:t>
            </w:r>
          </w:p>
        </w:tc>
        <w:tc>
          <w:tcPr>
            <w:tcW w:w="7654" w:type="dxa"/>
            <w:shd w:val="clear" w:color="auto" w:fill="auto"/>
          </w:tcPr>
          <w:p w:rsidR="007B0B32" w:rsidRPr="00FC4C37" w:rsidRDefault="007B0B32" w:rsidP="00F35CAF">
            <w:pPr>
              <w:pStyle w:val="IndicatorText"/>
              <w:framePr w:hSpace="0" w:wrap="auto" w:vAnchor="margin" w:hAnchor="text" w:yAlign="inline"/>
              <w:spacing w:before="40" w:after="40"/>
            </w:pPr>
            <w:r w:rsidRPr="00FC4C37">
              <w:t xml:space="preserve">Household surveys, </w:t>
            </w:r>
            <w:r>
              <w:t>p</w:t>
            </w:r>
            <w:r w:rsidRPr="00FC4C37">
              <w:t>opulation census</w:t>
            </w:r>
          </w:p>
        </w:tc>
      </w:tr>
      <w:tr w:rsidR="007B0B32" w:rsidRPr="00DE0966" w:rsidTr="00F35CAF">
        <w:trPr>
          <w:trHeight w:val="160"/>
        </w:trPr>
        <w:tc>
          <w:tcPr>
            <w:tcW w:w="2042" w:type="dxa"/>
            <w:tcBorders>
              <w:top w:val="nil"/>
              <w:bottom w:val="single" w:sz="4" w:space="0" w:color="A3BBD5"/>
            </w:tcBorders>
            <w:shd w:val="clear" w:color="000000" w:fill="E6F0FA"/>
          </w:tcPr>
          <w:p w:rsidR="007B0B32" w:rsidRPr="00FC4C37"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7B0B32" w:rsidRPr="002919FB" w:rsidRDefault="007B0B32" w:rsidP="00F35CAF">
            <w:pPr>
              <w:pStyle w:val="IndicatorText"/>
              <w:framePr w:hSpace="0" w:wrap="auto" w:vAnchor="margin" w:hAnchor="text" w:yAlign="inline"/>
              <w:rPr>
                <w:sz w:val="15"/>
                <w:szCs w:val="15"/>
              </w:rPr>
            </w:pPr>
            <w:r w:rsidRPr="002919FB">
              <w:rPr>
                <w:sz w:val="15"/>
                <w:szCs w:val="15"/>
              </w:rPr>
              <w:t>Every newborn: an action plan to end preventable deaths. Geneva: World Health Organization; 2014 (http://www.everynewborn.org/Documents/Full-action-plan-EN.pdf, accessed 29 March 2015).</w:t>
            </w:r>
          </w:p>
          <w:p w:rsidR="007B0B32" w:rsidRPr="002919FB" w:rsidRDefault="007B0B32" w:rsidP="00F35CAF">
            <w:pPr>
              <w:pStyle w:val="IndicatorText"/>
              <w:framePr w:hSpace="0" w:wrap="auto" w:vAnchor="margin" w:hAnchor="text" w:yAlign="inline"/>
              <w:rPr>
                <w:sz w:val="15"/>
                <w:szCs w:val="15"/>
              </w:rPr>
            </w:pPr>
            <w:r w:rsidRPr="002919FB">
              <w:rPr>
                <w:sz w:val="15"/>
                <w:szCs w:val="15"/>
                <w:lang w:val="en-US"/>
              </w:rPr>
              <w:t>Framework of actions for the follow-up to the Programme of Action of the International Conference on Population and Development beyond 2014. Report of the Secretary-General. New York (NY): United Nations; 2014 (https://www.unfpa.org/webdav/site/global/shared/documents/ICPD/Framework%20of%20action%20for%20the%20follow-up%20to%20the%20PoA%20of%20the%20ICPD.pdf, accessed 19 August 2014).</w:t>
            </w:r>
          </w:p>
          <w:p w:rsidR="007B0B32" w:rsidRPr="00FC4C37" w:rsidRDefault="007B0B32" w:rsidP="00F35CAF">
            <w:pPr>
              <w:pStyle w:val="IndicatorText"/>
              <w:framePr w:hSpace="0" w:wrap="auto" w:vAnchor="margin" w:hAnchor="text" w:yAlign="inline"/>
            </w:pPr>
            <w:r w:rsidRPr="002919FB">
              <w:rPr>
                <w:sz w:val="15"/>
                <w:szCs w:val="15"/>
              </w:rPr>
              <w:t>World population prospects. New York (NY): United Nations; 2012 (http://esa.un.org/wpp/, accessed 29 March 2015).</w:t>
            </w:r>
          </w:p>
        </w:tc>
      </w:tr>
    </w:tbl>
    <w:p w:rsidR="00277801" w:rsidRPr="00277801" w:rsidRDefault="00277801" w:rsidP="00277801"/>
    <w:p w:rsidR="00277801" w:rsidRPr="00277801" w:rsidRDefault="00277801" w:rsidP="0027780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3</w:t>
      </w:r>
      <w:r w:rsidRPr="00277801">
        <w:rPr>
          <w:color w:val="FFFFFF" w:themeColor="background1"/>
        </w:rPr>
        <w:t xml:space="preserve">: </w:t>
      </w:r>
      <w:r>
        <w:rPr>
          <w:color w:val="FFFFFF" w:themeColor="background1"/>
        </w:rPr>
        <w:tab/>
      </w:r>
      <w:r w:rsidRPr="00277801">
        <w:rPr>
          <w:color w:val="FFFFFF" w:themeColor="background1"/>
        </w:rPr>
        <w:t>By 2030, end the epidemics of AIDS, tuberculosis, malaria and neglected tropical diseases and combat</w:t>
      </w:r>
      <w:r>
        <w:rPr>
          <w:color w:val="FFFFFF" w:themeColor="background1"/>
        </w:rPr>
        <w:br/>
        <w:t>h</w:t>
      </w:r>
      <w:r w:rsidRPr="00277801">
        <w:rPr>
          <w:color w:val="FFFFFF" w:themeColor="background1"/>
        </w:rPr>
        <w:t>epatitis, water-borne diseases and other communicable disease</w:t>
      </w:r>
    </w:p>
    <w:p w:rsidR="007B0B32" w:rsidRDefault="007B0B32" w:rsidP="00277801">
      <w:pPr>
        <w:pStyle w:val="Tablesub-heading"/>
      </w:pPr>
      <w:r>
        <w:t>Indicator 3.3.1</w:t>
      </w:r>
      <w:r w:rsidR="00277801">
        <w:t>:</w:t>
      </w:r>
      <w:r w:rsidR="00277801">
        <w:tab/>
      </w:r>
      <w:r w:rsidRPr="007B0B32">
        <w:t xml:space="preserve">HIV incidence per </w:t>
      </w:r>
      <w:commentRangeStart w:id="5"/>
      <w:r w:rsidRPr="007B0B32">
        <w:t>100</w:t>
      </w:r>
      <w:r w:rsidR="00277801">
        <w:t>0</w:t>
      </w:r>
      <w:r w:rsidRPr="007B0B32">
        <w:t xml:space="preserve"> </w:t>
      </w:r>
      <w:commentRangeEnd w:id="5"/>
      <w:r w:rsidR="00277801">
        <w:rPr>
          <w:rStyle w:val="CommentReference"/>
          <w:rFonts w:ascii="Garamond" w:eastAsia="SimSun" w:hAnsi="Garamond" w:cs="Times New Roman"/>
          <w:b w:val="0"/>
          <w:bCs w:val="0"/>
          <w:noProof w:val="0"/>
          <w:color w:val="auto"/>
          <w:lang w:val="en-US"/>
        </w:rPr>
        <w:commentReference w:id="5"/>
      </w:r>
      <w:r w:rsidRPr="007B0B32">
        <w:t>susceptible person years (adults, key populations, children, adolescents)</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2919FB" w:rsidRPr="00DE0966" w:rsidTr="002919FB">
        <w:trPr>
          <w:trHeight w:val="117"/>
        </w:trPr>
        <w:tc>
          <w:tcPr>
            <w:tcW w:w="2042" w:type="dxa"/>
            <w:tcBorders>
              <w:top w:val="single" w:sz="4" w:space="0" w:color="A3BBD5"/>
              <w:bottom w:val="nil"/>
            </w:tcBorders>
            <w:shd w:val="clear" w:color="000000" w:fill="E6F0FA"/>
            <w:hideMark/>
          </w:tcPr>
          <w:p w:rsidR="002919FB" w:rsidRPr="00FE3FC3" w:rsidRDefault="002919FB" w:rsidP="002919FB">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2919FB" w:rsidRPr="00FE3FC3" w:rsidRDefault="002919FB" w:rsidP="002919FB">
            <w:pPr>
              <w:pStyle w:val="IndicatorName"/>
              <w:framePr w:hSpace="0" w:wrap="auto" w:vAnchor="margin" w:hAnchor="text" w:yAlign="inline"/>
            </w:pPr>
            <w:bookmarkStart w:id="6" w:name="_Toc418774229"/>
            <w:r w:rsidRPr="00FE3FC3">
              <w:t>HIV incidence</w:t>
            </w:r>
            <w:r>
              <w:t xml:space="preserve"> rate</w:t>
            </w:r>
            <w:bookmarkEnd w:id="6"/>
          </w:p>
        </w:tc>
      </w:tr>
      <w:tr w:rsidR="002919FB" w:rsidRPr="00DE0966" w:rsidTr="002919FB">
        <w:trPr>
          <w:trHeight w:val="35"/>
        </w:trPr>
        <w:tc>
          <w:tcPr>
            <w:tcW w:w="2042" w:type="dxa"/>
            <w:tcBorders>
              <w:top w:val="nil"/>
              <w:bottom w:val="nil"/>
            </w:tcBorders>
            <w:shd w:val="clear" w:color="000000" w:fill="E6F0FA"/>
            <w:hideMark/>
          </w:tcPr>
          <w:p w:rsidR="002919FB" w:rsidRPr="00FE3FC3" w:rsidRDefault="002919FB" w:rsidP="002919FB">
            <w:pPr>
              <w:spacing w:after="0"/>
              <w:rPr>
                <w:rFonts w:eastAsia="Times New Roman" w:cstheme="minorHAnsi"/>
                <w:color w:val="003366"/>
                <w:sz w:val="16"/>
                <w:szCs w:val="16"/>
              </w:rPr>
            </w:pPr>
            <w:r w:rsidRPr="00FE3FC3">
              <w:rPr>
                <w:rFonts w:eastAsia="Times New Roman" w:cstheme="minorHAnsi"/>
                <w:color w:val="003366"/>
                <w:sz w:val="16"/>
                <w:szCs w:val="16"/>
              </w:rPr>
              <w:t>Indicator name</w:t>
            </w:r>
          </w:p>
        </w:tc>
        <w:tc>
          <w:tcPr>
            <w:tcW w:w="7654" w:type="dxa"/>
            <w:shd w:val="clear" w:color="auto" w:fill="auto"/>
          </w:tcPr>
          <w:p w:rsidR="002919FB" w:rsidRPr="00FE3FC3" w:rsidRDefault="002919FB" w:rsidP="002919FB">
            <w:pPr>
              <w:pStyle w:val="IndicatorText"/>
              <w:framePr w:hSpace="0" w:wrap="auto" w:vAnchor="margin" w:hAnchor="text" w:yAlign="inline"/>
              <w:spacing w:before="0" w:after="0"/>
            </w:pPr>
            <w:r w:rsidRPr="00FE3FC3">
              <w:t>HIV incidence</w:t>
            </w:r>
            <w:r>
              <w:t xml:space="preserve"> </w:t>
            </w:r>
            <w:r w:rsidRPr="00225822">
              <w:t>(per 1000 population)</w:t>
            </w:r>
          </w:p>
        </w:tc>
      </w:tr>
      <w:tr w:rsidR="002919FB" w:rsidRPr="00DE0966" w:rsidTr="002919FB">
        <w:trPr>
          <w:trHeight w:val="23"/>
        </w:trPr>
        <w:tc>
          <w:tcPr>
            <w:tcW w:w="2042" w:type="dxa"/>
            <w:tcBorders>
              <w:top w:val="nil"/>
              <w:bottom w:val="nil"/>
            </w:tcBorders>
            <w:shd w:val="clear" w:color="000000" w:fill="E6F0FA"/>
          </w:tcPr>
          <w:p w:rsidR="002919FB" w:rsidRPr="00FE3FC3" w:rsidRDefault="002919FB" w:rsidP="002919FB">
            <w:pPr>
              <w:spacing w:after="0"/>
              <w:rPr>
                <w:rFonts w:eastAsia="Times New Roman" w:cstheme="minorHAnsi"/>
                <w:color w:val="003366"/>
                <w:sz w:val="16"/>
                <w:szCs w:val="16"/>
              </w:rPr>
            </w:pPr>
            <w:r w:rsidRPr="00FE3FC3">
              <w:rPr>
                <w:rFonts w:eastAsia="Times New Roman" w:cstheme="minorHAnsi"/>
                <w:color w:val="003366"/>
                <w:sz w:val="16"/>
                <w:szCs w:val="16"/>
              </w:rPr>
              <w:t>Domain</w:t>
            </w:r>
          </w:p>
        </w:tc>
        <w:tc>
          <w:tcPr>
            <w:tcW w:w="7654" w:type="dxa"/>
            <w:shd w:val="clear" w:color="auto" w:fill="auto"/>
          </w:tcPr>
          <w:p w:rsidR="002919FB" w:rsidRPr="00FE3FC3" w:rsidRDefault="002919FB" w:rsidP="002919FB">
            <w:pPr>
              <w:pStyle w:val="IndicatorText"/>
              <w:framePr w:hSpace="0" w:wrap="auto" w:vAnchor="margin" w:hAnchor="text" w:yAlign="inline"/>
              <w:spacing w:before="0" w:after="0"/>
            </w:pPr>
            <w:r w:rsidRPr="00FE3FC3">
              <w:t>Health status</w:t>
            </w:r>
          </w:p>
        </w:tc>
      </w:tr>
      <w:tr w:rsidR="002919FB" w:rsidRPr="00DE0966" w:rsidTr="002919FB">
        <w:trPr>
          <w:trHeight w:val="23"/>
        </w:trPr>
        <w:tc>
          <w:tcPr>
            <w:tcW w:w="2042" w:type="dxa"/>
            <w:tcBorders>
              <w:top w:val="nil"/>
              <w:bottom w:val="nil"/>
            </w:tcBorders>
            <w:shd w:val="clear" w:color="000000" w:fill="E6F0FA"/>
          </w:tcPr>
          <w:p w:rsidR="002919FB" w:rsidRPr="00FE3FC3" w:rsidRDefault="002919FB" w:rsidP="002919FB">
            <w:pPr>
              <w:spacing w:after="0"/>
              <w:rPr>
                <w:rFonts w:eastAsia="Times New Roman" w:cstheme="minorHAnsi"/>
                <w:color w:val="003366"/>
                <w:sz w:val="16"/>
                <w:szCs w:val="16"/>
              </w:rPr>
            </w:pPr>
            <w:r w:rsidRPr="00FE3FC3">
              <w:rPr>
                <w:rFonts w:eastAsia="Times New Roman" w:cstheme="minorHAnsi"/>
                <w:color w:val="003366"/>
                <w:sz w:val="16"/>
                <w:szCs w:val="16"/>
              </w:rPr>
              <w:t>Subdomain</w:t>
            </w:r>
          </w:p>
        </w:tc>
        <w:tc>
          <w:tcPr>
            <w:tcW w:w="7654" w:type="dxa"/>
            <w:shd w:val="clear" w:color="auto" w:fill="auto"/>
          </w:tcPr>
          <w:p w:rsidR="002919FB" w:rsidRPr="00FE3FC3" w:rsidRDefault="002919FB" w:rsidP="002919FB">
            <w:pPr>
              <w:pStyle w:val="IndicatorText"/>
              <w:framePr w:hSpace="0" w:wrap="auto" w:vAnchor="margin" w:hAnchor="text" w:yAlign="inline"/>
              <w:spacing w:before="0" w:after="0"/>
            </w:pPr>
            <w:r w:rsidRPr="00FE3FC3">
              <w:t>Infectious disease</w:t>
            </w:r>
          </w:p>
        </w:tc>
      </w:tr>
      <w:tr w:rsidR="002919FB" w:rsidRPr="00DE0966" w:rsidTr="002919FB">
        <w:trPr>
          <w:trHeight w:val="23"/>
        </w:trPr>
        <w:tc>
          <w:tcPr>
            <w:tcW w:w="2042" w:type="dxa"/>
            <w:tcBorders>
              <w:top w:val="nil"/>
              <w:bottom w:val="nil"/>
            </w:tcBorders>
            <w:shd w:val="clear" w:color="000000" w:fill="E6F0FA"/>
          </w:tcPr>
          <w:p w:rsidR="002919FB" w:rsidRPr="00FE3FC3" w:rsidRDefault="002919FB" w:rsidP="002919FB">
            <w:pPr>
              <w:spacing w:after="0"/>
              <w:rPr>
                <w:rFonts w:eastAsia="Times New Roman" w:cstheme="minorHAnsi"/>
                <w:color w:val="003366"/>
                <w:sz w:val="16"/>
                <w:szCs w:val="16"/>
              </w:rPr>
            </w:pPr>
            <w:r w:rsidRPr="00FE3FC3">
              <w:rPr>
                <w:rFonts w:eastAsia="Times New Roman" w:cstheme="minorHAnsi"/>
                <w:color w:val="003366"/>
                <w:sz w:val="16"/>
                <w:szCs w:val="16"/>
              </w:rPr>
              <w:t>Associated terms</w:t>
            </w:r>
          </w:p>
        </w:tc>
        <w:tc>
          <w:tcPr>
            <w:tcW w:w="7654" w:type="dxa"/>
            <w:shd w:val="clear" w:color="auto" w:fill="auto"/>
          </w:tcPr>
          <w:p w:rsidR="002919FB" w:rsidRPr="00FE3FC3" w:rsidRDefault="002919FB" w:rsidP="002919FB">
            <w:pPr>
              <w:pStyle w:val="IndicatorText"/>
              <w:framePr w:hSpace="0" w:wrap="auto" w:vAnchor="margin" w:hAnchor="text" w:yAlign="inline"/>
              <w:spacing w:before="0" w:after="0"/>
            </w:pPr>
            <w:r w:rsidRPr="00FE3FC3">
              <w:t>Morbidity</w:t>
            </w:r>
          </w:p>
        </w:tc>
      </w:tr>
      <w:tr w:rsidR="002919FB" w:rsidRPr="00DE0966" w:rsidTr="002919FB">
        <w:trPr>
          <w:trHeight w:val="23"/>
        </w:trPr>
        <w:tc>
          <w:tcPr>
            <w:tcW w:w="2042" w:type="dxa"/>
            <w:tcBorders>
              <w:top w:val="nil"/>
              <w:bottom w:val="nil"/>
            </w:tcBorders>
            <w:shd w:val="clear" w:color="000000" w:fill="E6F0FA"/>
          </w:tcPr>
          <w:p w:rsidR="002919FB" w:rsidRPr="00FE3FC3" w:rsidRDefault="002919FB" w:rsidP="002919FB">
            <w:pPr>
              <w:spacing w:after="0"/>
              <w:rPr>
                <w:rFonts w:eastAsia="Times New Roman" w:cstheme="minorHAnsi"/>
                <w:color w:val="003366"/>
                <w:sz w:val="16"/>
                <w:szCs w:val="16"/>
              </w:rPr>
            </w:pPr>
            <w:r w:rsidRPr="00FE3FC3">
              <w:rPr>
                <w:rFonts w:eastAsia="Times New Roman" w:cstheme="minorHAnsi"/>
                <w:color w:val="003366"/>
                <w:sz w:val="16"/>
                <w:szCs w:val="16"/>
              </w:rPr>
              <w:t>Definition</w:t>
            </w:r>
          </w:p>
        </w:tc>
        <w:tc>
          <w:tcPr>
            <w:tcW w:w="7654" w:type="dxa"/>
            <w:shd w:val="clear" w:color="auto" w:fill="auto"/>
          </w:tcPr>
          <w:p w:rsidR="002919FB" w:rsidRPr="00FE3FC3" w:rsidRDefault="002919FB" w:rsidP="002919FB">
            <w:pPr>
              <w:pStyle w:val="IndicatorText"/>
              <w:framePr w:hSpace="0" w:wrap="auto" w:vAnchor="margin" w:hAnchor="text" w:yAlign="inline"/>
              <w:spacing w:before="0" w:after="0"/>
            </w:pPr>
            <w:r w:rsidRPr="00FE3FC3">
              <w:t>Number of new HIV infections per 1000 person-years among the susceptible population. The incidence rate is the number of new cases per population at risk in a given time period.</w:t>
            </w:r>
          </w:p>
        </w:tc>
      </w:tr>
      <w:tr w:rsidR="002919FB" w:rsidRPr="00DE0966" w:rsidTr="002919FB">
        <w:trPr>
          <w:trHeight w:val="23"/>
        </w:trPr>
        <w:tc>
          <w:tcPr>
            <w:tcW w:w="2042" w:type="dxa"/>
            <w:tcBorders>
              <w:top w:val="nil"/>
              <w:bottom w:val="nil"/>
            </w:tcBorders>
            <w:shd w:val="clear" w:color="000000" w:fill="E6F0FA"/>
          </w:tcPr>
          <w:p w:rsidR="002919FB" w:rsidRPr="00FE3FC3" w:rsidRDefault="002919FB" w:rsidP="002919FB">
            <w:pPr>
              <w:spacing w:after="0"/>
              <w:rPr>
                <w:rFonts w:eastAsia="Times New Roman" w:cstheme="minorHAnsi"/>
                <w:color w:val="003366"/>
                <w:sz w:val="16"/>
                <w:szCs w:val="16"/>
              </w:rPr>
            </w:pPr>
            <w:r w:rsidRPr="00FE3FC3">
              <w:rPr>
                <w:rFonts w:eastAsia="Times New Roman" w:cstheme="minorHAnsi"/>
                <w:color w:val="003366"/>
                <w:sz w:val="16"/>
                <w:szCs w:val="16"/>
              </w:rPr>
              <w:t>Numerator</w:t>
            </w:r>
          </w:p>
        </w:tc>
        <w:tc>
          <w:tcPr>
            <w:tcW w:w="7654" w:type="dxa"/>
            <w:shd w:val="clear" w:color="auto" w:fill="auto"/>
          </w:tcPr>
          <w:p w:rsidR="002919FB" w:rsidRPr="00FE3FC3" w:rsidRDefault="002919FB" w:rsidP="002919FB">
            <w:pPr>
              <w:pStyle w:val="IndicatorText"/>
              <w:framePr w:hSpace="0" w:wrap="auto" w:vAnchor="margin" w:hAnchor="text" w:yAlign="inline"/>
              <w:spacing w:before="0" w:after="0"/>
            </w:pPr>
            <w:r w:rsidRPr="00FE3FC3">
              <w:t>Number of people who are newly infected in a specific time period x 1000</w:t>
            </w:r>
            <w:r>
              <w:t>.</w:t>
            </w:r>
          </w:p>
        </w:tc>
      </w:tr>
      <w:tr w:rsidR="002919FB" w:rsidRPr="00DE0966" w:rsidTr="002919FB">
        <w:trPr>
          <w:trHeight w:val="62"/>
        </w:trPr>
        <w:tc>
          <w:tcPr>
            <w:tcW w:w="2042" w:type="dxa"/>
            <w:tcBorders>
              <w:top w:val="nil"/>
              <w:bottom w:val="nil"/>
            </w:tcBorders>
            <w:shd w:val="clear" w:color="000000" w:fill="E6F0FA"/>
          </w:tcPr>
          <w:p w:rsidR="002919FB" w:rsidRPr="00FE3FC3" w:rsidRDefault="002919FB" w:rsidP="002919FB">
            <w:pPr>
              <w:spacing w:after="0"/>
              <w:rPr>
                <w:rFonts w:eastAsia="Times New Roman" w:cstheme="minorHAnsi"/>
                <w:color w:val="003366"/>
                <w:sz w:val="16"/>
                <w:szCs w:val="16"/>
              </w:rPr>
            </w:pPr>
            <w:r w:rsidRPr="00FE3FC3">
              <w:rPr>
                <w:rFonts w:eastAsia="Times New Roman" w:cstheme="minorHAnsi"/>
                <w:color w:val="003366"/>
                <w:sz w:val="16"/>
                <w:szCs w:val="16"/>
              </w:rPr>
              <w:t>Denominator</w:t>
            </w:r>
          </w:p>
        </w:tc>
        <w:tc>
          <w:tcPr>
            <w:tcW w:w="7654" w:type="dxa"/>
            <w:shd w:val="clear" w:color="auto" w:fill="auto"/>
          </w:tcPr>
          <w:p w:rsidR="002919FB" w:rsidRPr="00FE3FC3" w:rsidRDefault="002919FB" w:rsidP="002919FB">
            <w:pPr>
              <w:pStyle w:val="IndicatorText"/>
              <w:framePr w:hSpace="0" w:wrap="auto" w:vAnchor="margin" w:hAnchor="text" w:yAlign="inline"/>
              <w:spacing w:before="0" w:after="0"/>
            </w:pPr>
            <w:r w:rsidRPr="00FE3FC3">
              <w:t>Total susceptible person-years of exposure</w:t>
            </w:r>
            <w:r>
              <w:t>.</w:t>
            </w:r>
          </w:p>
        </w:tc>
      </w:tr>
      <w:tr w:rsidR="002919FB" w:rsidRPr="00DE0966" w:rsidTr="002919FB">
        <w:trPr>
          <w:trHeight w:val="268"/>
        </w:trPr>
        <w:tc>
          <w:tcPr>
            <w:tcW w:w="2042" w:type="dxa"/>
            <w:tcBorders>
              <w:top w:val="nil"/>
              <w:bottom w:val="nil"/>
            </w:tcBorders>
            <w:shd w:val="clear" w:color="000000" w:fill="E6F0FA"/>
          </w:tcPr>
          <w:p w:rsidR="002919FB" w:rsidRPr="00FE3FC3" w:rsidRDefault="002919FB" w:rsidP="002919FB">
            <w:pPr>
              <w:spacing w:before="80" w:after="80"/>
              <w:rPr>
                <w:rFonts w:eastAsia="Times New Roman" w:cstheme="minorHAnsi"/>
                <w:color w:val="003366"/>
                <w:sz w:val="16"/>
                <w:szCs w:val="16"/>
              </w:rPr>
            </w:pPr>
            <w:r w:rsidRPr="00FE3FC3">
              <w:rPr>
                <w:rFonts w:eastAsia="Times New Roman" w:cstheme="minorHAnsi"/>
                <w:color w:val="003366"/>
                <w:sz w:val="16"/>
                <w:szCs w:val="16"/>
              </w:rPr>
              <w:t>Disaggregation/</w:t>
            </w:r>
            <w:r w:rsidRPr="00FE3FC3">
              <w:rPr>
                <w:rFonts w:eastAsia="Times New Roman" w:cstheme="minorHAnsi"/>
                <w:color w:val="003366"/>
                <w:sz w:val="16"/>
                <w:szCs w:val="16"/>
              </w:rPr>
              <w:br/>
              <w:t>additional dimension</w:t>
            </w:r>
          </w:p>
        </w:tc>
        <w:tc>
          <w:tcPr>
            <w:tcW w:w="7654" w:type="dxa"/>
            <w:shd w:val="clear" w:color="auto" w:fill="auto"/>
          </w:tcPr>
          <w:p w:rsidR="002919FB" w:rsidRPr="00FE3FC3" w:rsidRDefault="002919FB" w:rsidP="002919FB">
            <w:pPr>
              <w:pStyle w:val="IndicatorText"/>
              <w:framePr w:hSpace="0" w:wrap="auto" w:vAnchor="margin" w:hAnchor="text" w:yAlign="inline"/>
            </w:pPr>
            <w:r w:rsidRPr="00FE3FC3">
              <w:t>General population, Key populations (men who have sex with men, sex workers, people who inject drugs, transgender people, prisoners)</w:t>
            </w:r>
            <w:r>
              <w:t xml:space="preserve">, </w:t>
            </w:r>
            <w:r w:rsidRPr="00FE3FC3">
              <w:t>Age groups (0</w:t>
            </w:r>
            <w:r w:rsidRPr="00FE3FC3">
              <w:sym w:font="Symbol" w:char="F02D"/>
            </w:r>
            <w:r w:rsidRPr="00FE3FC3">
              <w:t>14, 15</w:t>
            </w:r>
            <w:r w:rsidRPr="00FE3FC3">
              <w:sym w:font="Symbol" w:char="F02D"/>
            </w:r>
            <w:r w:rsidRPr="00FE3FC3">
              <w:t>24, 15</w:t>
            </w:r>
            <w:r w:rsidRPr="00FE3FC3">
              <w:sym w:font="Symbol" w:char="F02D"/>
            </w:r>
            <w:r w:rsidRPr="00FE3FC3">
              <w:t>49, 50+ years), for key populations &lt; 25, 25+ years), m</w:t>
            </w:r>
            <w:r w:rsidRPr="00FE3FC3">
              <w:rPr>
                <w:rFonts w:eastAsia="Times New Roman"/>
                <w:szCs w:val="16"/>
              </w:rPr>
              <w:t>ode of transmission for children (including mother-to-child transmission), p</w:t>
            </w:r>
            <w:r w:rsidRPr="00FE3FC3">
              <w:t>lace of residence, sex</w:t>
            </w:r>
          </w:p>
        </w:tc>
      </w:tr>
      <w:tr w:rsidR="002919FB" w:rsidRPr="00DE0966" w:rsidTr="002919FB">
        <w:trPr>
          <w:trHeight w:val="122"/>
        </w:trPr>
        <w:tc>
          <w:tcPr>
            <w:tcW w:w="2042" w:type="dxa"/>
            <w:tcBorders>
              <w:top w:val="nil"/>
              <w:bottom w:val="nil"/>
            </w:tcBorders>
            <w:shd w:val="clear" w:color="000000" w:fill="E6F0FA"/>
          </w:tcPr>
          <w:p w:rsidR="002919FB" w:rsidRPr="00FE3FC3" w:rsidRDefault="002919FB" w:rsidP="002919FB">
            <w:pPr>
              <w:spacing w:before="80" w:after="80"/>
              <w:rPr>
                <w:rFonts w:eastAsia="Times New Roman" w:cstheme="minorHAnsi"/>
                <w:color w:val="003366"/>
                <w:sz w:val="16"/>
                <w:szCs w:val="16"/>
              </w:rPr>
            </w:pPr>
            <w:r w:rsidRPr="00FE3FC3">
              <w:rPr>
                <w:rFonts w:eastAsia="Times New Roman" w:cstheme="minorHAnsi"/>
                <w:color w:val="003366"/>
                <w:sz w:val="16"/>
                <w:szCs w:val="16"/>
              </w:rPr>
              <w:t>Method of measurement</w:t>
            </w:r>
          </w:p>
        </w:tc>
        <w:tc>
          <w:tcPr>
            <w:tcW w:w="7654" w:type="dxa"/>
            <w:shd w:val="clear" w:color="auto" w:fill="auto"/>
          </w:tcPr>
          <w:p w:rsidR="002919FB" w:rsidRPr="00FE3FC3" w:rsidRDefault="002919FB" w:rsidP="002919FB">
            <w:pPr>
              <w:pStyle w:val="IndicatorText"/>
              <w:framePr w:hSpace="0" w:wrap="auto" w:vAnchor="margin" w:hAnchor="text" w:yAlign="inline"/>
            </w:pPr>
            <w:r w:rsidRPr="00FE3FC3">
              <w:t>Longitudinal data on individuals are the best source of data but are rarely available for large populations. Special diagnostic tests in surveys or from health facilities can be used to obtain data on HIV incidence.</w:t>
            </w:r>
          </w:p>
          <w:p w:rsidR="002919FB" w:rsidRPr="00FE3FC3" w:rsidRDefault="002919FB" w:rsidP="002919FB">
            <w:pPr>
              <w:pStyle w:val="IndicatorText"/>
              <w:framePr w:hSpace="0" w:wrap="auto" w:vAnchor="margin" w:hAnchor="text" w:yAlign="inline"/>
            </w:pPr>
            <w:r w:rsidRPr="00FE3FC3">
              <w:t>In generalized epidemics, prevalence among very young age groups can be reviewed as a proxy for or a data source for triangulating incidence.</w:t>
            </w:r>
          </w:p>
          <w:p w:rsidR="002919FB" w:rsidRPr="00FE3FC3" w:rsidRDefault="002919FB" w:rsidP="002919FB">
            <w:pPr>
              <w:pStyle w:val="IndicatorText"/>
              <w:framePr w:hSpace="0" w:wrap="auto" w:vAnchor="margin" w:hAnchor="text" w:yAlign="inline"/>
            </w:pPr>
            <w:r w:rsidRPr="00FE3FC3">
              <w:t>HIV incidence can also be modelled using the Spectrum software.</w:t>
            </w:r>
          </w:p>
        </w:tc>
      </w:tr>
      <w:tr w:rsidR="002919FB" w:rsidRPr="00DE0966" w:rsidTr="002919FB">
        <w:trPr>
          <w:trHeight w:val="160"/>
        </w:trPr>
        <w:tc>
          <w:tcPr>
            <w:tcW w:w="2042" w:type="dxa"/>
            <w:tcBorders>
              <w:top w:val="nil"/>
              <w:bottom w:val="nil"/>
            </w:tcBorders>
            <w:shd w:val="clear" w:color="000000" w:fill="E6F0FA"/>
          </w:tcPr>
          <w:p w:rsidR="002919FB" w:rsidRPr="00FE3FC3" w:rsidRDefault="002919FB" w:rsidP="002919FB">
            <w:pPr>
              <w:spacing w:after="0"/>
              <w:rPr>
                <w:rFonts w:eastAsia="Times New Roman" w:cstheme="minorHAnsi"/>
                <w:color w:val="003366"/>
                <w:sz w:val="16"/>
                <w:szCs w:val="16"/>
              </w:rPr>
            </w:pPr>
            <w:r w:rsidRPr="00FE3FC3">
              <w:rPr>
                <w:rFonts w:eastAsia="Times New Roman" w:cstheme="minorHAnsi"/>
                <w:color w:val="003366"/>
                <w:sz w:val="16"/>
                <w:szCs w:val="16"/>
              </w:rPr>
              <w:t>Method of estimation</w:t>
            </w:r>
          </w:p>
        </w:tc>
        <w:tc>
          <w:tcPr>
            <w:tcW w:w="7654" w:type="dxa"/>
            <w:shd w:val="clear" w:color="auto" w:fill="auto"/>
          </w:tcPr>
          <w:p w:rsidR="002919FB" w:rsidRPr="00FE3FC3" w:rsidRDefault="002919FB" w:rsidP="002919FB">
            <w:pPr>
              <w:pStyle w:val="IndicatorText"/>
              <w:framePr w:hSpace="0" w:wrap="auto" w:vAnchor="margin" w:hAnchor="text" w:yAlign="inline"/>
              <w:spacing w:before="0" w:after="0"/>
            </w:pPr>
            <w:r w:rsidRPr="00FE3FC3">
              <w:t>Modelling is often used to obtain an estimate of new infections. Prevalence data are the main input data.</w:t>
            </w:r>
          </w:p>
        </w:tc>
      </w:tr>
      <w:tr w:rsidR="002919FB" w:rsidRPr="00DE0966" w:rsidTr="002919FB">
        <w:trPr>
          <w:trHeight w:val="224"/>
        </w:trPr>
        <w:tc>
          <w:tcPr>
            <w:tcW w:w="2042" w:type="dxa"/>
            <w:tcBorders>
              <w:top w:val="nil"/>
              <w:bottom w:val="nil"/>
            </w:tcBorders>
            <w:shd w:val="clear" w:color="000000" w:fill="E6F0FA"/>
          </w:tcPr>
          <w:p w:rsidR="002919FB" w:rsidRPr="00FE3FC3" w:rsidRDefault="002919FB" w:rsidP="002919FB">
            <w:pPr>
              <w:spacing w:after="0"/>
              <w:rPr>
                <w:rFonts w:eastAsia="Times New Roman" w:cstheme="minorHAnsi"/>
                <w:color w:val="003366"/>
                <w:sz w:val="16"/>
                <w:szCs w:val="16"/>
              </w:rPr>
            </w:pPr>
            <w:r w:rsidRPr="00FE3FC3">
              <w:rPr>
                <w:rFonts w:eastAsia="Times New Roman" w:cstheme="minorHAnsi"/>
                <w:color w:val="003366"/>
                <w:sz w:val="16"/>
                <w:szCs w:val="16"/>
              </w:rPr>
              <w:t>Measurement frequency</w:t>
            </w:r>
          </w:p>
        </w:tc>
        <w:tc>
          <w:tcPr>
            <w:tcW w:w="7654" w:type="dxa"/>
            <w:shd w:val="clear" w:color="auto" w:fill="auto"/>
          </w:tcPr>
          <w:p w:rsidR="002919FB" w:rsidRPr="00FE3FC3" w:rsidRDefault="002919FB" w:rsidP="002919FB">
            <w:pPr>
              <w:pStyle w:val="IndicatorText"/>
              <w:framePr w:hSpace="0" w:wrap="auto" w:vAnchor="margin" w:hAnchor="text" w:yAlign="inline"/>
              <w:spacing w:before="0" w:after="0"/>
            </w:pPr>
            <w:r w:rsidRPr="00FE3FC3">
              <w:t>Survey schedule; Spectrum model estimates updated every year</w:t>
            </w:r>
          </w:p>
        </w:tc>
      </w:tr>
      <w:tr w:rsidR="002919FB" w:rsidRPr="00DE0966" w:rsidTr="002919FB">
        <w:trPr>
          <w:trHeight w:val="159"/>
        </w:trPr>
        <w:tc>
          <w:tcPr>
            <w:tcW w:w="2042" w:type="dxa"/>
            <w:tcBorders>
              <w:top w:val="nil"/>
              <w:bottom w:val="nil"/>
            </w:tcBorders>
            <w:shd w:val="clear" w:color="000000" w:fill="E6F0FA"/>
          </w:tcPr>
          <w:p w:rsidR="002919FB" w:rsidRPr="008955CE" w:rsidRDefault="002919FB" w:rsidP="002919FB">
            <w:pPr>
              <w:spacing w:after="0"/>
              <w:rPr>
                <w:rFonts w:eastAsia="Times New Roman" w:cstheme="minorHAnsi"/>
                <w:color w:val="003366"/>
                <w:sz w:val="16"/>
                <w:szCs w:val="16"/>
              </w:rPr>
            </w:pPr>
            <w:r w:rsidRPr="00CC28B2">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8955CE">
              <w:rPr>
                <w:rFonts w:eastAsia="Times New Roman" w:cstheme="minorHAnsi"/>
                <w:color w:val="003366"/>
                <w:sz w:val="16"/>
                <w:szCs w:val="16"/>
              </w:rPr>
              <w:t>framework</w:t>
            </w:r>
          </w:p>
        </w:tc>
        <w:tc>
          <w:tcPr>
            <w:tcW w:w="7654" w:type="dxa"/>
            <w:shd w:val="clear" w:color="auto" w:fill="auto"/>
          </w:tcPr>
          <w:p w:rsidR="002919FB" w:rsidRPr="008955CE" w:rsidRDefault="002919FB" w:rsidP="002919FB">
            <w:pPr>
              <w:pStyle w:val="IndicatorText"/>
              <w:framePr w:hSpace="0" w:wrap="auto" w:vAnchor="margin" w:hAnchor="text" w:yAlign="inline"/>
              <w:spacing w:before="0" w:after="0"/>
            </w:pPr>
            <w:r w:rsidRPr="008955CE">
              <w:t>Impact</w:t>
            </w:r>
          </w:p>
        </w:tc>
      </w:tr>
      <w:tr w:rsidR="002919FB" w:rsidRPr="00DE0966" w:rsidTr="002919FB">
        <w:trPr>
          <w:trHeight w:val="82"/>
        </w:trPr>
        <w:tc>
          <w:tcPr>
            <w:tcW w:w="2042" w:type="dxa"/>
            <w:tcBorders>
              <w:top w:val="nil"/>
              <w:bottom w:val="nil"/>
            </w:tcBorders>
            <w:shd w:val="clear" w:color="000000" w:fill="E6F0FA"/>
          </w:tcPr>
          <w:p w:rsidR="002919FB" w:rsidRPr="008955CE" w:rsidRDefault="002919FB" w:rsidP="002919FB">
            <w:pPr>
              <w:spacing w:after="0"/>
              <w:rPr>
                <w:rFonts w:eastAsia="Times New Roman" w:cstheme="minorHAnsi"/>
                <w:color w:val="003366"/>
                <w:sz w:val="16"/>
                <w:szCs w:val="16"/>
              </w:rPr>
            </w:pPr>
            <w:r w:rsidRPr="008955CE">
              <w:rPr>
                <w:rFonts w:eastAsia="Times New Roman" w:cstheme="minorHAnsi"/>
                <w:color w:val="003366"/>
                <w:sz w:val="16"/>
                <w:szCs w:val="16"/>
              </w:rPr>
              <w:t>Preferred data sources</w:t>
            </w:r>
          </w:p>
        </w:tc>
        <w:tc>
          <w:tcPr>
            <w:tcW w:w="7654" w:type="dxa"/>
            <w:shd w:val="clear" w:color="auto" w:fill="auto"/>
          </w:tcPr>
          <w:p w:rsidR="002919FB" w:rsidRPr="008955CE" w:rsidRDefault="002919FB" w:rsidP="002919FB">
            <w:pPr>
              <w:pStyle w:val="IndicatorText"/>
              <w:framePr w:hSpace="0" w:wrap="auto" w:vAnchor="margin" w:hAnchor="text" w:yAlign="inline"/>
              <w:spacing w:before="0" w:after="0"/>
            </w:pPr>
            <w:r w:rsidRPr="008955CE">
              <w:t>Household or key population survey with HIV incidence</w:t>
            </w:r>
            <w:r>
              <w:t>-</w:t>
            </w:r>
            <w:r w:rsidRPr="008955CE">
              <w:t>testing</w:t>
            </w:r>
            <w:r w:rsidRPr="00FE3FC3">
              <w:t>, Spectrum modelling</w:t>
            </w:r>
          </w:p>
        </w:tc>
      </w:tr>
      <w:tr w:rsidR="002919FB" w:rsidRPr="00DE0966" w:rsidTr="002919FB">
        <w:trPr>
          <w:trHeight w:val="160"/>
        </w:trPr>
        <w:tc>
          <w:tcPr>
            <w:tcW w:w="2042" w:type="dxa"/>
            <w:tcBorders>
              <w:top w:val="nil"/>
              <w:bottom w:val="nil"/>
            </w:tcBorders>
            <w:shd w:val="clear" w:color="000000" w:fill="E6F0FA"/>
          </w:tcPr>
          <w:p w:rsidR="002919FB" w:rsidRPr="008955CE" w:rsidRDefault="002919FB" w:rsidP="002919FB">
            <w:pPr>
              <w:spacing w:after="0"/>
              <w:rPr>
                <w:rFonts w:eastAsia="Times New Roman" w:cstheme="minorHAnsi"/>
                <w:color w:val="003366"/>
                <w:sz w:val="16"/>
                <w:szCs w:val="16"/>
              </w:rPr>
            </w:pPr>
            <w:r w:rsidRPr="008955CE">
              <w:rPr>
                <w:rFonts w:eastAsia="Times New Roman" w:cstheme="minorHAnsi"/>
                <w:color w:val="003366"/>
                <w:sz w:val="16"/>
                <w:szCs w:val="16"/>
              </w:rPr>
              <w:t>Other possible data sources</w:t>
            </w:r>
          </w:p>
        </w:tc>
        <w:tc>
          <w:tcPr>
            <w:tcW w:w="7654" w:type="dxa"/>
            <w:shd w:val="clear" w:color="auto" w:fill="auto"/>
          </w:tcPr>
          <w:p w:rsidR="002919FB" w:rsidRPr="008955CE" w:rsidRDefault="002919FB" w:rsidP="002919FB">
            <w:pPr>
              <w:pStyle w:val="IndicatorText"/>
              <w:framePr w:hSpace="0" w:wrap="auto" w:vAnchor="margin" w:hAnchor="text" w:yAlign="inline"/>
              <w:spacing w:before="0" w:after="0"/>
            </w:pPr>
            <w:r w:rsidRPr="008955CE">
              <w:t>Regular surveillance system among key populations</w:t>
            </w:r>
          </w:p>
        </w:tc>
      </w:tr>
      <w:tr w:rsidR="002919FB" w:rsidRPr="00DE0966" w:rsidTr="002919FB">
        <w:trPr>
          <w:trHeight w:val="160"/>
        </w:trPr>
        <w:tc>
          <w:tcPr>
            <w:tcW w:w="2042" w:type="dxa"/>
            <w:tcBorders>
              <w:top w:val="nil"/>
              <w:bottom w:val="single" w:sz="4" w:space="0" w:color="A3BBD5"/>
            </w:tcBorders>
            <w:shd w:val="clear" w:color="000000" w:fill="E6F0FA"/>
          </w:tcPr>
          <w:p w:rsidR="002919FB" w:rsidRPr="008955CE" w:rsidRDefault="002919FB" w:rsidP="002919FB">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2919FB" w:rsidRDefault="002919FB" w:rsidP="002919FB">
            <w:pPr>
              <w:pStyle w:val="IndicatorText"/>
              <w:framePr w:hSpace="0" w:wrap="auto" w:vAnchor="margin" w:hAnchor="text" w:yAlign="inline"/>
            </w:pPr>
            <w:r w:rsidRPr="000A4BCA">
              <w:t>Consolidated Strategic Information Guidelines for HIV in the Health Sector. Geneva: World Health Organization; 2015.</w:t>
            </w:r>
          </w:p>
          <w:p w:rsidR="002919FB" w:rsidRPr="00FE3FC3" w:rsidRDefault="002919FB" w:rsidP="002919FB">
            <w:pPr>
              <w:pStyle w:val="IndicatorText"/>
              <w:framePr w:hSpace="0" w:wrap="auto" w:vAnchor="margin" w:hAnchor="text" w:yAlign="inline"/>
            </w:pPr>
            <w:r w:rsidRPr="00FE3FC3">
              <w:rPr>
                <w:lang w:val="en-US"/>
              </w:rPr>
              <w:t>Framework of actions for the follow-up to the Programme of Action of the International Conference on Population and Development beyond 2014. Report of the Secretary-General. New York (NY): United Nations;</w:t>
            </w:r>
            <w:r>
              <w:rPr>
                <w:lang w:val="en-US"/>
              </w:rPr>
              <w:t xml:space="preserve"> </w:t>
            </w:r>
            <w:r w:rsidRPr="00FE3FC3">
              <w:rPr>
                <w:lang w:val="en-US"/>
              </w:rPr>
              <w:t>2014 (</w:t>
            </w:r>
            <w:r w:rsidRPr="0056160E">
              <w:rPr>
                <w:lang w:val="en-US"/>
              </w:rPr>
              <w:t>https://www.unfpa.org/webdav/site/global/shared/documents/ICPD/Framework%20of%20action%20for%20the%20follow-up%20to%20the%20PoA%20of%20the%20ICPD.pdf</w:t>
            </w:r>
            <w:r w:rsidRPr="00FE3FC3">
              <w:rPr>
                <w:lang w:val="en-US"/>
              </w:rPr>
              <w:t>, accessed 19 August 2014).</w:t>
            </w:r>
          </w:p>
          <w:p w:rsidR="002919FB" w:rsidRPr="00FE3FC3" w:rsidRDefault="002919FB" w:rsidP="002919FB">
            <w:pPr>
              <w:pStyle w:val="IndicatorText"/>
              <w:framePr w:hSpace="0" w:wrap="auto" w:vAnchor="margin" w:hAnchor="text" w:yAlign="inline"/>
            </w:pPr>
            <w:r w:rsidRPr="00FE3FC3">
              <w:rPr>
                <w:lang w:val="en-US"/>
              </w:rPr>
              <w:t>Global AIDS response progress reporting 2014: construction of core indicators for monitoring the 2011 United Nations political declaration on HIV/AIDS. Geneva: Joint United Nations Programme on HIV/AIDS; 2014 (</w:t>
            </w:r>
            <w:r w:rsidRPr="0056160E">
              <w:rPr>
                <w:lang w:val="en-US"/>
              </w:rPr>
              <w:t>http://www.unaids.org/en/media/unaids/contentassets/documents/document/2014/GARPR_2014_guidelines_en.pdf</w:t>
            </w:r>
            <w:r w:rsidRPr="00FE3FC3">
              <w:rPr>
                <w:lang w:val="en-US"/>
              </w:rPr>
              <w:t>, accessed 29 March 2015).</w:t>
            </w:r>
          </w:p>
          <w:p w:rsidR="002919FB" w:rsidRPr="00FE3FC3" w:rsidRDefault="002919FB" w:rsidP="002919FB">
            <w:pPr>
              <w:pStyle w:val="IndicatorText"/>
              <w:framePr w:hSpace="0" w:wrap="auto" w:vAnchor="margin" w:hAnchor="text" w:yAlign="inline"/>
            </w:pPr>
            <w:r w:rsidRPr="00FE3FC3">
              <w:rPr>
                <w:lang w:val="en-US"/>
              </w:rPr>
              <w:t>Indicators for monitoring the Millennium Development Goals: definitions, rationale, concepts and sources. New York (NY): United Nations; 2012 (</w:t>
            </w:r>
            <w:r w:rsidRPr="0056160E">
              <w:rPr>
                <w:lang w:val="en-US"/>
              </w:rPr>
              <w:t>http://mdgs.un.org/unsd/mi/wiki/MainPage.ashx</w:t>
            </w:r>
            <w:r w:rsidRPr="00FE3FC3">
              <w:rPr>
                <w:lang w:val="en-US"/>
              </w:rPr>
              <w:t>, accessed 29 March 2015).</w:t>
            </w:r>
          </w:p>
          <w:p w:rsidR="002919FB" w:rsidRPr="00FE3FC3" w:rsidRDefault="002919FB" w:rsidP="002919FB">
            <w:pPr>
              <w:pStyle w:val="IndicatorText"/>
              <w:framePr w:hSpace="0" w:wrap="auto" w:vAnchor="margin" w:hAnchor="text" w:yAlign="inline"/>
            </w:pPr>
            <w:r w:rsidRPr="00FE3FC3">
              <w:rPr>
                <w:lang w:val="en-US"/>
              </w:rPr>
              <w:t>Next generation indicators reference guide: planning and reporting. Version 1.2. Washington (DC): The President's Emergency Plan for AIDS Relief; 2013 (</w:t>
            </w:r>
            <w:r w:rsidRPr="0056160E">
              <w:rPr>
                <w:lang w:val="en-US"/>
              </w:rPr>
              <w:t>http://www.pepfar.gov/documents/organization/206097.pdf</w:t>
            </w:r>
            <w:r w:rsidRPr="00FE3FC3">
              <w:rPr>
                <w:lang w:val="en-US"/>
              </w:rPr>
              <w:t>, accessed 29 March 2014).</w:t>
            </w:r>
          </w:p>
          <w:p w:rsidR="002919FB" w:rsidRDefault="002919FB" w:rsidP="002919FB">
            <w:pPr>
              <w:pStyle w:val="IndicatorText"/>
              <w:framePr w:hSpace="0" w:wrap="auto" w:vAnchor="margin" w:hAnchor="text" w:yAlign="inline"/>
              <w:rPr>
                <w:lang w:val="en-US"/>
              </w:rPr>
            </w:pPr>
            <w:r w:rsidRPr="00FE3FC3">
              <w:rPr>
                <w:lang w:val="en-US"/>
              </w:rPr>
              <w:t>Spectrum software. Glastonbury (CT): Avenir Health. (</w:t>
            </w:r>
            <w:r w:rsidRPr="0056160E">
              <w:rPr>
                <w:lang w:val="en-US"/>
              </w:rPr>
              <w:t>http://www.avenirhealth.org/software-spectrum.php</w:t>
            </w:r>
            <w:r w:rsidRPr="00FE3FC3">
              <w:rPr>
                <w:u w:val="single"/>
                <w:lang w:val="en-US"/>
              </w:rPr>
              <w:t>, accessed</w:t>
            </w:r>
            <w:r>
              <w:rPr>
                <w:u w:val="single"/>
                <w:lang w:val="en-US"/>
              </w:rPr>
              <w:t xml:space="preserve"> </w:t>
            </w:r>
            <w:r w:rsidRPr="00FE3FC3">
              <w:rPr>
                <w:lang w:val="en-US"/>
              </w:rPr>
              <w:t>29 March 2015).</w:t>
            </w:r>
          </w:p>
          <w:p w:rsidR="002919FB" w:rsidRPr="00FE3FC3" w:rsidRDefault="002919FB" w:rsidP="002919FB">
            <w:pPr>
              <w:spacing w:after="0"/>
              <w:rPr>
                <w:rFonts w:eastAsia="TT15Ct00" w:cstheme="minorHAnsi"/>
                <w:color w:val="000000" w:themeColor="text1"/>
                <w:sz w:val="16"/>
                <w:szCs w:val="18"/>
                <w:lang w:val="en-US" w:eastAsia="en-US"/>
              </w:rPr>
            </w:pPr>
            <w:r w:rsidRPr="00FE3FC3">
              <w:rPr>
                <w:rFonts w:eastAsia="TT15Ct00" w:cstheme="minorHAnsi"/>
                <w:color w:val="000000" w:themeColor="text1"/>
                <w:sz w:val="16"/>
                <w:szCs w:val="18"/>
                <w:lang w:val="en-US" w:eastAsia="en-US"/>
              </w:rPr>
              <w:t>The UNFPA Strategic Plan, 2014</w:t>
            </w:r>
            <w:r w:rsidRPr="00FE3FC3">
              <w:rPr>
                <w:rFonts w:eastAsia="TT15Ct00" w:cstheme="minorHAnsi"/>
                <w:color w:val="000000" w:themeColor="text1"/>
                <w:sz w:val="16"/>
                <w:szCs w:val="18"/>
                <w:lang w:val="en-US" w:eastAsia="en-US"/>
              </w:rPr>
              <w:sym w:font="Symbol" w:char="F02D"/>
            </w:r>
            <w:r w:rsidRPr="00FE3FC3">
              <w:rPr>
                <w:rFonts w:eastAsia="TT15Ct00" w:cstheme="minorHAnsi"/>
                <w:color w:val="000000" w:themeColor="text1"/>
                <w:sz w:val="16"/>
                <w:szCs w:val="18"/>
                <w:lang w:val="en-US" w:eastAsia="en-US"/>
              </w:rPr>
              <w:t>2017. Report of the Executive Director. New York (NY): United Nations Population Fund; 2013.</w:t>
            </w:r>
          </w:p>
          <w:p w:rsidR="002919FB" w:rsidRPr="00FE3FC3" w:rsidRDefault="002919FB" w:rsidP="002919FB">
            <w:pPr>
              <w:pStyle w:val="IndicatorText"/>
              <w:framePr w:hSpace="0" w:wrap="auto" w:vAnchor="margin" w:hAnchor="text" w:yAlign="inline"/>
            </w:pPr>
            <w:r w:rsidRPr="00FE3FC3">
              <w:rPr>
                <w:lang w:val="en-US"/>
              </w:rPr>
              <w:t>World Health Assembly governing body documentation: official records. Geneva: World Health Organization (</w:t>
            </w:r>
            <w:r w:rsidRPr="0056160E">
              <w:rPr>
                <w:lang w:val="en-US"/>
              </w:rPr>
              <w:t>http://apps.who.int/gb/or/</w:t>
            </w:r>
            <w:r w:rsidRPr="00FE3FC3">
              <w:rPr>
                <w:lang w:val="en-US"/>
              </w:rPr>
              <w:t>, accessed 29 March 2015).</w:t>
            </w:r>
          </w:p>
        </w:tc>
      </w:tr>
    </w:tbl>
    <w:p w:rsidR="002919FB" w:rsidRDefault="002919FB" w:rsidP="007B0B32"/>
    <w:p w:rsidR="002919FB" w:rsidRDefault="002919FB" w:rsidP="002919FB">
      <w:r>
        <w:br w:type="page"/>
      </w:r>
    </w:p>
    <w:p w:rsidR="00277801" w:rsidRPr="00277801" w:rsidRDefault="00277801" w:rsidP="0027780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3</w:t>
      </w:r>
      <w:r w:rsidRPr="00277801">
        <w:rPr>
          <w:color w:val="FFFFFF" w:themeColor="background1"/>
        </w:rPr>
        <w:t xml:space="preserve">: </w:t>
      </w:r>
      <w:r>
        <w:rPr>
          <w:color w:val="FFFFFF" w:themeColor="background1"/>
        </w:rPr>
        <w:tab/>
      </w:r>
      <w:r w:rsidRPr="00277801">
        <w:rPr>
          <w:color w:val="FFFFFF" w:themeColor="background1"/>
        </w:rPr>
        <w:t>By 2030, end the epidemics of AIDS, tuberculosis, malaria and neglected tropical diseases and combat</w:t>
      </w:r>
      <w:r>
        <w:rPr>
          <w:color w:val="FFFFFF" w:themeColor="background1"/>
        </w:rPr>
        <w:br/>
        <w:t>h</w:t>
      </w:r>
      <w:r w:rsidRPr="00277801">
        <w:rPr>
          <w:color w:val="FFFFFF" w:themeColor="background1"/>
        </w:rPr>
        <w:t>epatitis, water-borne diseases and other communicable disease</w:t>
      </w:r>
    </w:p>
    <w:p w:rsidR="007B0B32" w:rsidRDefault="007B0B32" w:rsidP="0099691F">
      <w:pPr>
        <w:pStyle w:val="Tablesub-heading"/>
      </w:pPr>
      <w:r>
        <w:t>Indicator 3.3.2</w:t>
      </w:r>
      <w:r w:rsidR="00277801">
        <w:t>:</w:t>
      </w:r>
      <w:r w:rsidR="00277801">
        <w:tab/>
      </w:r>
      <w:commentRangeStart w:id="7"/>
      <w:r w:rsidRPr="007B0B32">
        <w:t xml:space="preserve">AIDS </w:t>
      </w:r>
      <w:commentRangeEnd w:id="7"/>
      <w:r w:rsidR="0099691F">
        <w:rPr>
          <w:rStyle w:val="CommentReference"/>
          <w:rFonts w:ascii="Garamond" w:eastAsia="SimSun" w:hAnsi="Garamond" w:cs="Times New Roman"/>
          <w:b w:val="0"/>
          <w:bCs w:val="0"/>
          <w:noProof w:val="0"/>
          <w:color w:val="auto"/>
          <w:lang w:val="en-US"/>
        </w:rPr>
        <w:commentReference w:id="7"/>
      </w:r>
      <w:r w:rsidRPr="007B0B32">
        <w:t>deaths per 100,000 population</w:t>
      </w:r>
    </w:p>
    <w:tbl>
      <w:tblPr>
        <w:tblpPr w:leftFromText="180" w:rightFromText="180" w:vertAnchor="text" w:horzAnchor="margin" w:tblpY="86"/>
        <w:tblW w:w="9696" w:type="dxa"/>
        <w:tblInd w:w="57"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7B0B32" w:rsidRPr="00DE0966" w:rsidTr="00F35CAF">
        <w:trPr>
          <w:trHeight w:val="117"/>
        </w:trPr>
        <w:tc>
          <w:tcPr>
            <w:tcW w:w="2042" w:type="dxa"/>
            <w:tcBorders>
              <w:top w:val="single" w:sz="4" w:space="0" w:color="A3BBD5"/>
              <w:bottom w:val="nil"/>
            </w:tcBorders>
            <w:shd w:val="clear" w:color="000000" w:fill="E6F0FA"/>
            <w:hideMark/>
          </w:tcPr>
          <w:p w:rsidR="007B0B32" w:rsidRPr="008651CF"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7B0B32" w:rsidRPr="008651CF" w:rsidRDefault="007B0B32" w:rsidP="00F35CAF">
            <w:pPr>
              <w:pStyle w:val="IndicatorName"/>
              <w:framePr w:hSpace="0" w:wrap="auto" w:vAnchor="margin" w:hAnchor="text" w:yAlign="inline"/>
            </w:pPr>
            <w:r>
              <w:t>AIDS-related</w:t>
            </w:r>
            <w:r w:rsidRPr="006160B7">
              <w:t xml:space="preserve"> mortality rate</w:t>
            </w:r>
          </w:p>
        </w:tc>
      </w:tr>
      <w:tr w:rsidR="007B0B32" w:rsidRPr="00DE0966" w:rsidTr="00F35CAF">
        <w:trPr>
          <w:trHeight w:val="35"/>
        </w:trPr>
        <w:tc>
          <w:tcPr>
            <w:tcW w:w="2042" w:type="dxa"/>
            <w:tcBorders>
              <w:top w:val="nil"/>
              <w:bottom w:val="nil"/>
            </w:tcBorders>
            <w:shd w:val="clear" w:color="000000" w:fill="E6F0FA"/>
            <w:hideMark/>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Indicator name</w:t>
            </w:r>
          </w:p>
        </w:tc>
        <w:tc>
          <w:tcPr>
            <w:tcW w:w="7654" w:type="dxa"/>
            <w:shd w:val="clear" w:color="auto" w:fill="auto"/>
          </w:tcPr>
          <w:p w:rsidR="007B0B32" w:rsidRPr="00FC4C70" w:rsidRDefault="007B0B32" w:rsidP="00F35CAF">
            <w:pPr>
              <w:pStyle w:val="IndicatorText"/>
              <w:framePr w:hSpace="0" w:wrap="auto" w:vAnchor="margin" w:hAnchor="text" w:yAlign="inline"/>
            </w:pPr>
            <w:r>
              <w:t>AIDS-related mortality rate (per 100 000 population)</w:t>
            </w:r>
          </w:p>
        </w:tc>
      </w:tr>
      <w:tr w:rsidR="007B0B32" w:rsidRPr="00DE0966" w:rsidTr="00F35CAF">
        <w:trPr>
          <w:trHeight w:val="23"/>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Domain</w:t>
            </w:r>
          </w:p>
        </w:tc>
        <w:tc>
          <w:tcPr>
            <w:tcW w:w="7654" w:type="dxa"/>
            <w:shd w:val="clear" w:color="auto" w:fill="auto"/>
          </w:tcPr>
          <w:p w:rsidR="007B0B32" w:rsidRPr="00FC4C70" w:rsidRDefault="007B0B32" w:rsidP="00F35CAF">
            <w:pPr>
              <w:pStyle w:val="IndicatorText"/>
              <w:framePr w:hSpace="0" w:wrap="auto" w:vAnchor="margin" w:hAnchor="text" w:yAlign="inline"/>
            </w:pPr>
            <w:r w:rsidRPr="00FC4C70">
              <w:t>Health status</w:t>
            </w:r>
          </w:p>
        </w:tc>
      </w:tr>
      <w:tr w:rsidR="007B0B32" w:rsidRPr="00DE0966" w:rsidTr="00F35CAF">
        <w:trPr>
          <w:trHeight w:val="23"/>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7B0B32" w:rsidRPr="00FC4C70" w:rsidRDefault="007B0B32" w:rsidP="00F35CAF">
            <w:pPr>
              <w:pStyle w:val="IndicatorText"/>
              <w:framePr w:hSpace="0" w:wrap="auto" w:vAnchor="margin" w:hAnchor="text" w:yAlign="inline"/>
            </w:pPr>
            <w:r w:rsidRPr="00FC4C70">
              <w:t>Infectious disease</w:t>
            </w:r>
          </w:p>
        </w:tc>
      </w:tr>
      <w:tr w:rsidR="007B0B32" w:rsidRPr="00DE0966" w:rsidTr="00F35CAF">
        <w:trPr>
          <w:trHeight w:val="23"/>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Associated terms</w:t>
            </w:r>
          </w:p>
        </w:tc>
        <w:tc>
          <w:tcPr>
            <w:tcW w:w="7654" w:type="dxa"/>
            <w:shd w:val="clear" w:color="auto" w:fill="auto"/>
          </w:tcPr>
          <w:p w:rsidR="007B0B32" w:rsidRPr="00FC4C70" w:rsidRDefault="007B0B32" w:rsidP="00F35CAF">
            <w:pPr>
              <w:pStyle w:val="IndicatorText"/>
              <w:framePr w:hSpace="0" w:wrap="auto" w:vAnchor="margin" w:hAnchor="text" w:yAlign="inline"/>
            </w:pPr>
            <w:r w:rsidRPr="00FC4C70">
              <w:t>Mortality by cause</w:t>
            </w:r>
          </w:p>
        </w:tc>
      </w:tr>
      <w:tr w:rsidR="007B0B32" w:rsidRPr="00DE0966" w:rsidTr="00F35CAF">
        <w:trPr>
          <w:trHeight w:val="23"/>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Definition</w:t>
            </w:r>
          </w:p>
        </w:tc>
        <w:tc>
          <w:tcPr>
            <w:tcW w:w="7654" w:type="dxa"/>
            <w:shd w:val="clear" w:color="auto" w:fill="auto"/>
          </w:tcPr>
          <w:p w:rsidR="007B0B32" w:rsidRPr="00FC4C70" w:rsidRDefault="007B0B32" w:rsidP="00F35CAF">
            <w:pPr>
              <w:pStyle w:val="IndicatorText"/>
              <w:framePr w:hSpace="0" w:wrap="auto" w:vAnchor="margin" w:hAnchor="text" w:yAlign="inline"/>
            </w:pPr>
            <w:r w:rsidRPr="00FC4C70">
              <w:t xml:space="preserve">Estimated number of adults and children who have died due to </w:t>
            </w:r>
            <w:r>
              <w:t>AIDS-related causes</w:t>
            </w:r>
            <w:r w:rsidRPr="00FC4C70">
              <w:t xml:space="preserve"> in a specific year, expressed as a rate per 100 000 population.</w:t>
            </w:r>
          </w:p>
        </w:tc>
      </w:tr>
      <w:tr w:rsidR="007B0B32" w:rsidRPr="00DE0966" w:rsidTr="00F35CAF">
        <w:trPr>
          <w:trHeight w:val="23"/>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Numerator</w:t>
            </w:r>
          </w:p>
        </w:tc>
        <w:tc>
          <w:tcPr>
            <w:tcW w:w="7654" w:type="dxa"/>
            <w:shd w:val="clear" w:color="auto" w:fill="auto"/>
          </w:tcPr>
          <w:p w:rsidR="007B0B32" w:rsidRPr="00FC4C70" w:rsidRDefault="007B0B32" w:rsidP="00F35CAF">
            <w:pPr>
              <w:pStyle w:val="IndicatorText"/>
              <w:framePr w:hSpace="0" w:wrap="auto" w:vAnchor="margin" w:hAnchor="text" w:yAlign="inline"/>
            </w:pPr>
            <w:r>
              <w:t xml:space="preserve">Number of deaths due to </w:t>
            </w:r>
            <w:r w:rsidRPr="00FC4C70">
              <w:t>AIDS x 100</w:t>
            </w:r>
            <w:r>
              <w:t xml:space="preserve"> </w:t>
            </w:r>
            <w:r w:rsidRPr="00FC4C70">
              <w:t>000</w:t>
            </w:r>
            <w:r>
              <w:t>.</w:t>
            </w:r>
          </w:p>
        </w:tc>
      </w:tr>
      <w:tr w:rsidR="007B0B32" w:rsidRPr="00DE0966" w:rsidTr="00F35CAF">
        <w:trPr>
          <w:trHeight w:val="62"/>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Denominator</w:t>
            </w:r>
          </w:p>
        </w:tc>
        <w:tc>
          <w:tcPr>
            <w:tcW w:w="7654" w:type="dxa"/>
            <w:shd w:val="clear" w:color="auto" w:fill="auto"/>
          </w:tcPr>
          <w:p w:rsidR="007B0B32" w:rsidRPr="00FC4C70" w:rsidRDefault="007B0B32" w:rsidP="00F35CAF">
            <w:pPr>
              <w:pStyle w:val="IndicatorText"/>
              <w:framePr w:hSpace="0" w:wrap="auto" w:vAnchor="margin" w:hAnchor="text" w:yAlign="inline"/>
            </w:pPr>
            <w:r w:rsidRPr="00FC4C70">
              <w:t>Estimated population in the reporting year</w:t>
            </w:r>
            <w:r>
              <w:t>.</w:t>
            </w:r>
          </w:p>
        </w:tc>
      </w:tr>
      <w:tr w:rsidR="007B0B32" w:rsidRPr="00DE0966" w:rsidTr="00F35CAF">
        <w:trPr>
          <w:trHeight w:val="268"/>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Disaggregation/</w:t>
            </w:r>
            <w:r w:rsidRPr="008651CF">
              <w:rPr>
                <w:rFonts w:eastAsia="Times New Roman" w:cstheme="minorHAnsi"/>
                <w:color w:val="003366"/>
                <w:sz w:val="16"/>
                <w:szCs w:val="16"/>
              </w:rPr>
              <w:br/>
              <w:t>additional dimension</w:t>
            </w:r>
          </w:p>
        </w:tc>
        <w:tc>
          <w:tcPr>
            <w:tcW w:w="7654" w:type="dxa"/>
            <w:shd w:val="clear" w:color="auto" w:fill="auto"/>
          </w:tcPr>
          <w:p w:rsidR="007B0B32" w:rsidRPr="00FC4C70" w:rsidRDefault="007B0B32" w:rsidP="00F35CAF">
            <w:pPr>
              <w:pStyle w:val="IndicatorText"/>
              <w:framePr w:hSpace="0" w:wrap="auto" w:vAnchor="margin" w:hAnchor="text" w:yAlign="inline"/>
            </w:pPr>
            <w:r w:rsidRPr="00FC4C70">
              <w:t>Age, place of residence,</w:t>
            </w:r>
            <w:r w:rsidRPr="00FC4C70" w:rsidDel="00814340">
              <w:t xml:space="preserve"> </w:t>
            </w:r>
            <w:r w:rsidRPr="00FC4C70">
              <w:t>sex, TB status</w:t>
            </w:r>
          </w:p>
        </w:tc>
      </w:tr>
      <w:tr w:rsidR="007B0B32" w:rsidRPr="00DE0966" w:rsidTr="00F35CAF">
        <w:trPr>
          <w:trHeight w:val="122"/>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Method of measurement</w:t>
            </w:r>
          </w:p>
        </w:tc>
        <w:tc>
          <w:tcPr>
            <w:tcW w:w="7654" w:type="dxa"/>
            <w:shd w:val="clear" w:color="auto" w:fill="auto"/>
          </w:tcPr>
          <w:p w:rsidR="007B0B32" w:rsidRPr="00FC4C70" w:rsidRDefault="007B0B32" w:rsidP="00F35CAF">
            <w:pPr>
              <w:pStyle w:val="IndicatorText"/>
              <w:framePr w:hSpace="0" w:wrap="auto" w:vAnchor="margin" w:hAnchor="text" w:yAlign="inline"/>
            </w:pPr>
            <w:r w:rsidRPr="00FC4C70">
              <w:t>Death registration data using ICD; verbal autopsy-based results are also used.</w:t>
            </w:r>
          </w:p>
          <w:p w:rsidR="007B0B32" w:rsidRPr="00FC4C70" w:rsidRDefault="007B0B32" w:rsidP="00F35CAF">
            <w:pPr>
              <w:pStyle w:val="IndicatorText"/>
              <w:framePr w:hSpace="0" w:wrap="auto" w:vAnchor="margin" w:hAnchor="text" w:yAlign="inline"/>
            </w:pPr>
            <w:r w:rsidRPr="00FC4C70">
              <w:t xml:space="preserve">The number of </w:t>
            </w:r>
            <w:r>
              <w:t>AIDs-related</w:t>
            </w:r>
            <w:r w:rsidRPr="00FC4C70">
              <w:t xml:space="preserve"> deaths can also be modelled using the Spectrum software.</w:t>
            </w:r>
          </w:p>
        </w:tc>
      </w:tr>
      <w:tr w:rsidR="007B0B32" w:rsidRPr="00DE0966" w:rsidTr="00F35CAF">
        <w:trPr>
          <w:trHeight w:val="160"/>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Method of estimation</w:t>
            </w:r>
          </w:p>
        </w:tc>
        <w:tc>
          <w:tcPr>
            <w:tcW w:w="7654" w:type="dxa"/>
            <w:shd w:val="clear" w:color="auto" w:fill="auto"/>
          </w:tcPr>
          <w:p w:rsidR="007B0B32" w:rsidRDefault="007B0B32" w:rsidP="00F35CAF">
            <w:pPr>
              <w:pStyle w:val="IndicatorText"/>
              <w:framePr w:hSpace="0" w:wrap="auto" w:vAnchor="margin" w:hAnchor="text" w:yAlign="inline"/>
            </w:pPr>
            <w:r w:rsidRPr="00FC4C70">
              <w:t>Empirical data from different HIV surveillance sources are consolidated to obtain estimates of the level and trend of HIV infection and of mortality in adults and children. Standard methods and tools for HIV estimates that are appropriate to the pattern of the HIV epidemic are used. However, to obtain the best possible estimates, judgement must be used as to the quality of the data and how representative it is of the population. Adjustments are often needed because of underreporting/misclassification of HIV/AIDS deaths. UNAIDS and WHO produce country-specific estimates of mortality due to</w:t>
            </w:r>
            <w:r>
              <w:t xml:space="preserve"> </w:t>
            </w:r>
            <w:r w:rsidRPr="00FC4C70">
              <w:t xml:space="preserve">AIDS every </w:t>
            </w:r>
            <w:r>
              <w:t>year</w:t>
            </w:r>
            <w:r w:rsidRPr="00FC4C70">
              <w:t xml:space="preserve">. </w:t>
            </w:r>
          </w:p>
          <w:p w:rsidR="007B0B32" w:rsidRDefault="007B0B32" w:rsidP="00F35CAF">
            <w:pPr>
              <w:pStyle w:val="IndicatorText"/>
              <w:framePr w:hSpace="0" w:wrap="auto" w:vAnchor="margin" w:hAnchor="text" w:yAlign="inline"/>
            </w:pPr>
            <w:r w:rsidRPr="00FC4C70">
              <w:t xml:space="preserve">To calculate mortality rates, the total population is derived from the latest estimates produced by the United Nations Population Division. </w:t>
            </w:r>
          </w:p>
          <w:p w:rsidR="007B0B32" w:rsidRPr="00FC4C70" w:rsidRDefault="007B0B32" w:rsidP="00F35CAF">
            <w:pPr>
              <w:pStyle w:val="IndicatorText"/>
              <w:framePr w:hSpace="0" w:wrap="auto" w:vAnchor="margin" w:hAnchor="text" w:yAlign="inline"/>
            </w:pPr>
            <w:r w:rsidRPr="00FC4C70">
              <w:t>Predominant type of statistics: predicted.</w:t>
            </w:r>
          </w:p>
        </w:tc>
      </w:tr>
      <w:tr w:rsidR="007B0B32" w:rsidRPr="00DE0966" w:rsidTr="00F35CAF">
        <w:trPr>
          <w:trHeight w:val="224"/>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Measurement frequency</w:t>
            </w:r>
          </w:p>
        </w:tc>
        <w:tc>
          <w:tcPr>
            <w:tcW w:w="7654" w:type="dxa"/>
            <w:shd w:val="clear" w:color="auto" w:fill="auto"/>
          </w:tcPr>
          <w:p w:rsidR="007B0B32" w:rsidRPr="008651CF" w:rsidRDefault="007B0B32" w:rsidP="00F35CAF">
            <w:pPr>
              <w:pStyle w:val="IndicatorText"/>
              <w:framePr w:hSpace="0" w:wrap="auto" w:vAnchor="margin" w:hAnchor="text" w:yAlign="inline"/>
            </w:pPr>
            <w:r>
              <w:t>Annual if based on civil registration data or United Nations estimates</w:t>
            </w:r>
          </w:p>
        </w:tc>
      </w:tr>
      <w:tr w:rsidR="007B0B32" w:rsidRPr="00DE0966" w:rsidTr="00F35CAF">
        <w:trPr>
          <w:trHeight w:val="159"/>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387AB0">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8651CF">
              <w:rPr>
                <w:rFonts w:eastAsia="Times New Roman" w:cstheme="minorHAnsi"/>
                <w:color w:val="003366"/>
                <w:sz w:val="16"/>
                <w:szCs w:val="16"/>
              </w:rPr>
              <w:t>framework</w:t>
            </w:r>
          </w:p>
        </w:tc>
        <w:tc>
          <w:tcPr>
            <w:tcW w:w="7654" w:type="dxa"/>
            <w:shd w:val="clear" w:color="auto" w:fill="auto"/>
          </w:tcPr>
          <w:p w:rsidR="007B0B32" w:rsidRPr="008651CF" w:rsidRDefault="007B0B32" w:rsidP="00F35CAF">
            <w:pPr>
              <w:pStyle w:val="IndicatorText"/>
              <w:framePr w:hSpace="0" w:wrap="auto" w:vAnchor="margin" w:hAnchor="text" w:yAlign="inline"/>
            </w:pPr>
            <w:r w:rsidRPr="008651CF">
              <w:t>Impact</w:t>
            </w:r>
          </w:p>
        </w:tc>
      </w:tr>
      <w:tr w:rsidR="007B0B32" w:rsidRPr="00DE0966" w:rsidTr="00F35CAF">
        <w:trPr>
          <w:trHeight w:val="82"/>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Preferred data sources</w:t>
            </w:r>
          </w:p>
        </w:tc>
        <w:tc>
          <w:tcPr>
            <w:tcW w:w="7654" w:type="dxa"/>
            <w:shd w:val="clear" w:color="auto" w:fill="auto"/>
          </w:tcPr>
          <w:p w:rsidR="007B0B32" w:rsidRPr="008651CF" w:rsidRDefault="007B0B32" w:rsidP="00F35CAF">
            <w:pPr>
              <w:pStyle w:val="IndicatorText"/>
              <w:framePr w:hSpace="0" w:wrap="auto" w:vAnchor="margin" w:hAnchor="text" w:yAlign="inline"/>
            </w:pPr>
            <w:r w:rsidRPr="007F4091">
              <w:rPr>
                <w:szCs w:val="16"/>
              </w:rPr>
              <w:t>Civil registration with full coverage and cause of death based on ICD</w:t>
            </w:r>
          </w:p>
        </w:tc>
      </w:tr>
      <w:tr w:rsidR="007B0B32" w:rsidRPr="00DE0966" w:rsidTr="00F35CAF">
        <w:trPr>
          <w:trHeight w:val="160"/>
        </w:trPr>
        <w:tc>
          <w:tcPr>
            <w:tcW w:w="2042" w:type="dxa"/>
            <w:tcBorders>
              <w:top w:val="nil"/>
              <w:bottom w:val="nil"/>
            </w:tcBorders>
            <w:shd w:val="clear" w:color="000000" w:fill="E6F0FA"/>
          </w:tcPr>
          <w:p w:rsidR="007B0B32" w:rsidRPr="008651CF" w:rsidRDefault="007B0B32" w:rsidP="00F35CAF">
            <w:pPr>
              <w:spacing w:before="80" w:after="80"/>
              <w:rPr>
                <w:rFonts w:eastAsia="Times New Roman" w:cstheme="minorHAnsi"/>
                <w:color w:val="003366"/>
                <w:sz w:val="16"/>
                <w:szCs w:val="16"/>
              </w:rPr>
            </w:pPr>
            <w:r w:rsidRPr="008651CF">
              <w:rPr>
                <w:rFonts w:eastAsia="Times New Roman" w:cstheme="minorHAnsi"/>
                <w:color w:val="003366"/>
                <w:sz w:val="16"/>
                <w:szCs w:val="16"/>
              </w:rPr>
              <w:t>Other possible data sources</w:t>
            </w:r>
          </w:p>
        </w:tc>
        <w:tc>
          <w:tcPr>
            <w:tcW w:w="7654" w:type="dxa"/>
            <w:shd w:val="clear" w:color="auto" w:fill="auto"/>
          </w:tcPr>
          <w:p w:rsidR="007B0B32" w:rsidRPr="008651CF" w:rsidRDefault="007B0B32" w:rsidP="00F35CAF">
            <w:pPr>
              <w:pStyle w:val="IndicatorText"/>
              <w:framePr w:hSpace="0" w:wrap="auto" w:vAnchor="margin" w:hAnchor="text" w:yAlign="inline"/>
            </w:pPr>
            <w:r w:rsidRPr="008651CF">
              <w:t xml:space="preserve">Sample registration systems with causes of death, </w:t>
            </w:r>
            <w:r>
              <w:t>h</w:t>
            </w:r>
            <w:r w:rsidRPr="008651CF">
              <w:t>ousehold surveys with verbal autopsy</w:t>
            </w:r>
            <w:r>
              <w:t>, modelled estimates</w:t>
            </w:r>
          </w:p>
        </w:tc>
      </w:tr>
      <w:tr w:rsidR="007B0B32" w:rsidRPr="00DE0966" w:rsidTr="00F35CAF">
        <w:trPr>
          <w:trHeight w:val="160"/>
        </w:trPr>
        <w:tc>
          <w:tcPr>
            <w:tcW w:w="2042" w:type="dxa"/>
            <w:tcBorders>
              <w:top w:val="nil"/>
              <w:bottom w:val="single" w:sz="4" w:space="0" w:color="A3BBD5"/>
            </w:tcBorders>
            <w:shd w:val="clear" w:color="000000" w:fill="E6F0FA"/>
          </w:tcPr>
          <w:p w:rsidR="007B0B32" w:rsidRPr="008651CF"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7B0B32" w:rsidRDefault="007B0B32" w:rsidP="00F35CAF">
            <w:pPr>
              <w:pStyle w:val="IndicatorText"/>
              <w:framePr w:hSpace="0" w:wrap="auto" w:vAnchor="margin" w:hAnchor="text" w:yAlign="inline"/>
            </w:pPr>
            <w:r w:rsidRPr="000A4BCA">
              <w:t>Consolidated Strategic Information Guidelines for HIV in the Health Sector. Geneva: World Health Organization; 2015.</w:t>
            </w:r>
          </w:p>
          <w:p w:rsidR="007B0B32" w:rsidRPr="0094473D" w:rsidRDefault="007B0B32" w:rsidP="00F35CAF">
            <w:pPr>
              <w:pStyle w:val="IndicatorText"/>
              <w:framePr w:hSpace="0" w:wrap="auto" w:vAnchor="margin" w:hAnchor="text" w:yAlign="inline"/>
            </w:pPr>
            <w:r w:rsidRPr="00FC4C70">
              <w:t>Spectrum software. Glastonbury (CT): Avenir Health. (</w:t>
            </w:r>
            <w:r w:rsidRPr="0056160E">
              <w:t>http://www.avenirhealth.org/software-spectrum.php</w:t>
            </w:r>
            <w:r w:rsidRPr="00FC4C70">
              <w:t>, accessed 29 March 2015).</w:t>
            </w:r>
          </w:p>
          <w:p w:rsidR="007B0B32" w:rsidRPr="0094473D" w:rsidRDefault="007B0B32" w:rsidP="00F35CAF">
            <w:pPr>
              <w:pStyle w:val="IndicatorText"/>
              <w:framePr w:hSpace="0" w:wrap="auto" w:vAnchor="margin" w:hAnchor="text" w:yAlign="inline"/>
            </w:pPr>
            <w:r w:rsidRPr="0094473D">
              <w:t>World Health Assembly governing body documentation: official records. Geneva: World Health Organization (</w:t>
            </w:r>
            <w:r w:rsidRPr="0056160E">
              <w:t>http://apps.who.int/gb/or/</w:t>
            </w:r>
            <w:r w:rsidRPr="0094473D">
              <w:t>, accessed 29 March 2015).</w:t>
            </w:r>
          </w:p>
        </w:tc>
      </w:tr>
    </w:tbl>
    <w:p w:rsidR="007B0B32" w:rsidRDefault="007B0B32" w:rsidP="007B0B32"/>
    <w:p w:rsidR="007B0B32" w:rsidRDefault="007B0B32" w:rsidP="007B0B32">
      <w:r>
        <w:br w:type="page"/>
      </w:r>
    </w:p>
    <w:p w:rsidR="00277801" w:rsidRPr="00277801" w:rsidRDefault="00277801" w:rsidP="0027780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3</w:t>
      </w:r>
      <w:r w:rsidRPr="00277801">
        <w:rPr>
          <w:color w:val="FFFFFF" w:themeColor="background1"/>
        </w:rPr>
        <w:t xml:space="preserve">: </w:t>
      </w:r>
      <w:r>
        <w:rPr>
          <w:color w:val="FFFFFF" w:themeColor="background1"/>
        </w:rPr>
        <w:tab/>
      </w:r>
      <w:r w:rsidRPr="00277801">
        <w:rPr>
          <w:color w:val="FFFFFF" w:themeColor="background1"/>
        </w:rPr>
        <w:t>By 2030, end the epidemics of AIDS, tuberculosis, malaria and neglected tropical diseases and combat</w:t>
      </w:r>
      <w:r>
        <w:rPr>
          <w:color w:val="FFFFFF" w:themeColor="background1"/>
        </w:rPr>
        <w:br/>
        <w:t>h</w:t>
      </w:r>
      <w:r w:rsidRPr="00277801">
        <w:rPr>
          <w:color w:val="FFFFFF" w:themeColor="background1"/>
        </w:rPr>
        <w:t>epatitis, water-borne diseases and other communicable disease</w:t>
      </w:r>
    </w:p>
    <w:p w:rsidR="007B0B32" w:rsidRDefault="00277801" w:rsidP="007B0B32">
      <w:pPr>
        <w:pStyle w:val="Tablesub-heading"/>
      </w:pPr>
      <w:r>
        <w:t>Indicator 3.3.3:</w:t>
      </w:r>
      <w:r>
        <w:tab/>
      </w:r>
      <w:r w:rsidR="0099691F">
        <w:t xml:space="preserve">TB incidence per </w:t>
      </w:r>
      <w:commentRangeStart w:id="8"/>
      <w:r w:rsidR="0099691F">
        <w:t>100,</w:t>
      </w:r>
      <w:r w:rsidR="007B0B32" w:rsidRPr="007B0B32">
        <w:t>000</w:t>
      </w:r>
      <w:commentRangeEnd w:id="8"/>
      <w:r w:rsidR="0099691F">
        <w:rPr>
          <w:rStyle w:val="CommentReference"/>
          <w:rFonts w:ascii="Garamond" w:eastAsia="SimSun" w:hAnsi="Garamond" w:cs="Times New Roman"/>
          <w:b w:val="0"/>
          <w:bCs w:val="0"/>
          <w:noProof w:val="0"/>
          <w:color w:val="auto"/>
          <w:lang w:val="en-US"/>
        </w:rPr>
        <w:commentReference w:id="8"/>
      </w:r>
      <w:r w:rsidR="007B0B32" w:rsidRPr="007B0B32">
        <w:t xml:space="preserve"> person years</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7B0B32" w:rsidRPr="00DE0966" w:rsidTr="00F35CAF">
        <w:trPr>
          <w:trHeight w:val="117"/>
        </w:trPr>
        <w:tc>
          <w:tcPr>
            <w:tcW w:w="2042" w:type="dxa"/>
            <w:tcBorders>
              <w:top w:val="single" w:sz="4" w:space="0" w:color="A3BBD5"/>
              <w:bottom w:val="nil"/>
            </w:tcBorders>
            <w:shd w:val="clear" w:color="000000" w:fill="E6F0FA"/>
            <w:hideMark/>
          </w:tcPr>
          <w:p w:rsidR="007B0B32" w:rsidRPr="00EA43FE"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7B0B32" w:rsidRPr="00EA43FE" w:rsidRDefault="007B0B32" w:rsidP="00F35CAF">
            <w:pPr>
              <w:pStyle w:val="IndicatorName"/>
              <w:framePr w:hSpace="0" w:wrap="auto" w:vAnchor="margin" w:hAnchor="text" w:yAlign="inline"/>
            </w:pPr>
            <w:bookmarkStart w:id="9" w:name="_Toc418774232"/>
            <w:r>
              <w:t>TB incidence rate</w:t>
            </w:r>
            <w:bookmarkEnd w:id="9"/>
          </w:p>
        </w:tc>
      </w:tr>
      <w:tr w:rsidR="007B0B32" w:rsidRPr="00DE0966" w:rsidTr="00F35CAF">
        <w:trPr>
          <w:trHeight w:val="35"/>
        </w:trPr>
        <w:tc>
          <w:tcPr>
            <w:tcW w:w="2042" w:type="dxa"/>
            <w:tcBorders>
              <w:top w:val="nil"/>
              <w:bottom w:val="nil"/>
            </w:tcBorders>
            <w:shd w:val="clear" w:color="000000" w:fill="E6F0FA"/>
            <w:hideMark/>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Indicator name</w:t>
            </w:r>
          </w:p>
        </w:tc>
        <w:tc>
          <w:tcPr>
            <w:tcW w:w="7654" w:type="dxa"/>
            <w:shd w:val="clear" w:color="auto" w:fill="auto"/>
          </w:tcPr>
          <w:p w:rsidR="007B0B32" w:rsidRPr="00EA43FE" w:rsidRDefault="007B0B32" w:rsidP="00F35CAF">
            <w:pPr>
              <w:pStyle w:val="IndicatorText"/>
              <w:framePr w:hSpace="0" w:wrap="auto" w:vAnchor="margin" w:hAnchor="text" w:yAlign="inline"/>
            </w:pPr>
            <w:r w:rsidRPr="00EA43FE">
              <w:t xml:space="preserve">Tuberculosis </w:t>
            </w:r>
            <w:r>
              <w:t xml:space="preserve">(TB) </w:t>
            </w:r>
            <w:r w:rsidRPr="00EA43FE">
              <w:t>incidence (per 100 000 population)</w:t>
            </w:r>
          </w:p>
        </w:tc>
      </w:tr>
      <w:tr w:rsidR="007B0B32" w:rsidRPr="00DE0966" w:rsidTr="00F35CAF">
        <w:trPr>
          <w:trHeight w:val="23"/>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Domain</w:t>
            </w:r>
          </w:p>
        </w:tc>
        <w:tc>
          <w:tcPr>
            <w:tcW w:w="7654" w:type="dxa"/>
            <w:shd w:val="clear" w:color="auto" w:fill="auto"/>
          </w:tcPr>
          <w:p w:rsidR="007B0B32" w:rsidRPr="00EA43FE" w:rsidRDefault="007B0B32" w:rsidP="00F35CAF">
            <w:pPr>
              <w:pStyle w:val="IndicatorText"/>
              <w:framePr w:hSpace="0" w:wrap="auto" w:vAnchor="margin" w:hAnchor="text" w:yAlign="inline"/>
            </w:pPr>
            <w:r w:rsidRPr="00EA43FE">
              <w:t>Health status</w:t>
            </w:r>
          </w:p>
        </w:tc>
      </w:tr>
      <w:tr w:rsidR="007B0B32" w:rsidRPr="00DE0966" w:rsidTr="00F35CAF">
        <w:trPr>
          <w:trHeight w:val="23"/>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7B0B32" w:rsidRPr="00EA43FE" w:rsidRDefault="007B0B32" w:rsidP="00F35CAF">
            <w:pPr>
              <w:pStyle w:val="IndicatorText"/>
              <w:framePr w:hSpace="0" w:wrap="auto" w:vAnchor="margin" w:hAnchor="text" w:yAlign="inline"/>
            </w:pPr>
            <w:r>
              <w:t>Infectious disease</w:t>
            </w:r>
          </w:p>
        </w:tc>
      </w:tr>
      <w:tr w:rsidR="007B0B32" w:rsidRPr="00DE0966" w:rsidTr="00F35CAF">
        <w:trPr>
          <w:trHeight w:val="23"/>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Associated terms</w:t>
            </w:r>
          </w:p>
        </w:tc>
        <w:tc>
          <w:tcPr>
            <w:tcW w:w="7654" w:type="dxa"/>
            <w:shd w:val="clear" w:color="auto" w:fill="auto"/>
          </w:tcPr>
          <w:p w:rsidR="007B0B32" w:rsidRPr="00EA43FE" w:rsidRDefault="007B0B32" w:rsidP="00F35CAF">
            <w:pPr>
              <w:pStyle w:val="IndicatorText"/>
              <w:framePr w:hSpace="0" w:wrap="auto" w:vAnchor="margin" w:hAnchor="text" w:yAlign="inline"/>
            </w:pPr>
            <w:r w:rsidRPr="00EA43FE">
              <w:t>Morbidity</w:t>
            </w:r>
          </w:p>
        </w:tc>
      </w:tr>
      <w:tr w:rsidR="007B0B32" w:rsidRPr="00DE0966" w:rsidTr="00F35CAF">
        <w:trPr>
          <w:trHeight w:val="23"/>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Definition</w:t>
            </w:r>
          </w:p>
        </w:tc>
        <w:tc>
          <w:tcPr>
            <w:tcW w:w="7654" w:type="dxa"/>
            <w:shd w:val="clear" w:color="auto" w:fill="auto"/>
          </w:tcPr>
          <w:p w:rsidR="007B0B32" w:rsidRPr="00EA43FE" w:rsidRDefault="007B0B32" w:rsidP="00F35CAF">
            <w:pPr>
              <w:pStyle w:val="IndicatorText"/>
              <w:framePr w:hSpace="0" w:wrap="auto" w:vAnchor="margin" w:hAnchor="text" w:yAlign="inline"/>
            </w:pPr>
            <w:r>
              <w:t>E</w:t>
            </w:r>
            <w:r w:rsidRPr="00EA43FE">
              <w:t xml:space="preserve">stimated number of new and relapse </w:t>
            </w:r>
            <w:r>
              <w:t>TB</w:t>
            </w:r>
            <w:r w:rsidRPr="00EA43FE">
              <w:t xml:space="preserve"> cases </w:t>
            </w:r>
            <w:r>
              <w:t>(all forms of TB</w:t>
            </w:r>
            <w:r w:rsidRPr="00EA43FE">
              <w:t>, including cases in people living with HI</w:t>
            </w:r>
            <w:r>
              <w:t xml:space="preserve">V) </w:t>
            </w:r>
            <w:r w:rsidRPr="00EA43FE">
              <w:t xml:space="preserve">arising in a given year, expressed as </w:t>
            </w:r>
            <w:r>
              <w:t>a</w:t>
            </w:r>
            <w:r w:rsidRPr="00EA43FE">
              <w:t xml:space="preserve"> rate per 100</w:t>
            </w:r>
            <w:r>
              <w:t> 000 population.</w:t>
            </w:r>
          </w:p>
        </w:tc>
      </w:tr>
      <w:tr w:rsidR="007B0B32" w:rsidRPr="00DE0966" w:rsidTr="00F35CAF">
        <w:trPr>
          <w:trHeight w:val="23"/>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Numerator</w:t>
            </w:r>
          </w:p>
        </w:tc>
        <w:tc>
          <w:tcPr>
            <w:tcW w:w="7654" w:type="dxa"/>
            <w:shd w:val="clear" w:color="auto" w:fill="auto"/>
          </w:tcPr>
          <w:p w:rsidR="007B0B32" w:rsidRPr="00EA43FE" w:rsidRDefault="007B0B32" w:rsidP="00F35CAF">
            <w:pPr>
              <w:pStyle w:val="IndicatorText"/>
              <w:framePr w:hSpace="0" w:wrap="auto" w:vAnchor="margin" w:hAnchor="text" w:yAlign="inline"/>
            </w:pPr>
            <w:r>
              <w:t>Number of</w:t>
            </w:r>
            <w:r w:rsidRPr="00EA43FE">
              <w:t xml:space="preserve"> new and relapse TB cases arising in a specified time period</w:t>
            </w:r>
            <w:r>
              <w:t>.</w:t>
            </w:r>
          </w:p>
        </w:tc>
      </w:tr>
      <w:tr w:rsidR="007B0B32" w:rsidRPr="00DE0966" w:rsidTr="00F35CAF">
        <w:trPr>
          <w:trHeight w:val="62"/>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Denominator</w:t>
            </w:r>
          </w:p>
        </w:tc>
        <w:tc>
          <w:tcPr>
            <w:tcW w:w="7654" w:type="dxa"/>
            <w:shd w:val="clear" w:color="auto" w:fill="auto"/>
          </w:tcPr>
          <w:p w:rsidR="007B0B32" w:rsidRPr="00EA43FE" w:rsidRDefault="007B0B32" w:rsidP="00F35CAF">
            <w:pPr>
              <w:pStyle w:val="IndicatorText"/>
              <w:framePr w:hSpace="0" w:wrap="auto" w:vAnchor="margin" w:hAnchor="text" w:yAlign="inline"/>
            </w:pPr>
            <w:r>
              <w:t>Number of</w:t>
            </w:r>
            <w:r w:rsidRPr="00EA43FE">
              <w:t xml:space="preserve"> person</w:t>
            </w:r>
            <w:r>
              <w:t>-</w:t>
            </w:r>
            <w:r w:rsidRPr="00EA43FE">
              <w:t>years of exposure</w:t>
            </w:r>
            <w:r>
              <w:t>.</w:t>
            </w:r>
          </w:p>
        </w:tc>
      </w:tr>
      <w:tr w:rsidR="007B0B32" w:rsidRPr="00DE0966" w:rsidTr="00F35CAF">
        <w:trPr>
          <w:trHeight w:val="268"/>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Disaggregation/</w:t>
            </w:r>
            <w:r w:rsidRPr="00EA43FE">
              <w:rPr>
                <w:rFonts w:eastAsia="Times New Roman" w:cstheme="minorHAnsi"/>
                <w:color w:val="003366"/>
                <w:sz w:val="16"/>
                <w:szCs w:val="16"/>
              </w:rPr>
              <w:br/>
              <w:t>additional dimension</w:t>
            </w:r>
          </w:p>
        </w:tc>
        <w:tc>
          <w:tcPr>
            <w:tcW w:w="7654" w:type="dxa"/>
            <w:shd w:val="clear" w:color="auto" w:fill="auto"/>
          </w:tcPr>
          <w:p w:rsidR="007B0B32" w:rsidRPr="00EA43FE" w:rsidRDefault="007B0B32" w:rsidP="00F35CAF">
            <w:pPr>
              <w:pStyle w:val="IndicatorText"/>
              <w:framePr w:hSpace="0" w:wrap="auto" w:vAnchor="margin" w:hAnchor="text" w:yAlign="inline"/>
            </w:pPr>
            <w:r w:rsidRPr="00EA43FE">
              <w:t>Age,</w:t>
            </w:r>
            <w:r>
              <w:t xml:space="preserve"> </w:t>
            </w:r>
            <w:r w:rsidRPr="00EA43FE">
              <w:t>HIV status</w:t>
            </w:r>
            <w:r>
              <w:t>, s</w:t>
            </w:r>
            <w:r w:rsidRPr="00EA43FE">
              <w:t xml:space="preserve">ex </w:t>
            </w:r>
          </w:p>
        </w:tc>
      </w:tr>
      <w:tr w:rsidR="007B0B32" w:rsidRPr="00DE0966" w:rsidTr="00F35CAF">
        <w:trPr>
          <w:trHeight w:val="122"/>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Method of measurement</w:t>
            </w:r>
          </w:p>
        </w:tc>
        <w:tc>
          <w:tcPr>
            <w:tcW w:w="7654" w:type="dxa"/>
            <w:shd w:val="clear" w:color="auto" w:fill="auto"/>
          </w:tcPr>
          <w:p w:rsidR="007B0B32" w:rsidRPr="00EA43FE" w:rsidRDefault="007B0B32" w:rsidP="00F35CAF">
            <w:pPr>
              <w:pStyle w:val="IndicatorText"/>
              <w:framePr w:hSpace="0" w:wrap="auto" w:vAnchor="margin" w:hAnchor="text" w:yAlign="inline"/>
            </w:pPr>
            <w:r w:rsidRPr="00EA43FE">
              <w:t>Direct measurement requires high</w:t>
            </w:r>
            <w:r>
              <w:t>-</w:t>
            </w:r>
            <w:r w:rsidRPr="00EA43FE">
              <w:t>quality surveillance systems in which underreporting is negligible</w:t>
            </w:r>
            <w:r>
              <w:t>,</w:t>
            </w:r>
            <w:r w:rsidRPr="00EA43FE">
              <w:t xml:space="preserve"> and strong health systems so that </w:t>
            </w:r>
            <w:proofErr w:type="spellStart"/>
            <w:r w:rsidRPr="00EA43FE">
              <w:t>underdiagnosis</w:t>
            </w:r>
            <w:proofErr w:type="spellEnd"/>
            <w:r w:rsidRPr="00EA43FE">
              <w:t xml:space="preserve"> is also negligible</w:t>
            </w:r>
            <w:r>
              <w:t>;</w:t>
            </w:r>
            <w:r w:rsidRPr="00EA43FE">
              <w:t xml:space="preserve"> </w:t>
            </w:r>
            <w:r>
              <w:t>o</w:t>
            </w:r>
            <w:r w:rsidRPr="00EA43FE">
              <w:t>therwise indirect estimates based on notification data and estimates of levels of underreporting and under</w:t>
            </w:r>
            <w:r>
              <w:t>-</w:t>
            </w:r>
            <w:r w:rsidRPr="00EA43FE">
              <w:t>diagnosis.</w:t>
            </w:r>
          </w:p>
        </w:tc>
      </w:tr>
      <w:tr w:rsidR="007B0B32" w:rsidRPr="00DE0966" w:rsidTr="00F35CAF">
        <w:trPr>
          <w:trHeight w:val="160"/>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Method of estimation</w:t>
            </w:r>
          </w:p>
        </w:tc>
        <w:tc>
          <w:tcPr>
            <w:tcW w:w="7654" w:type="dxa"/>
            <w:shd w:val="clear" w:color="auto" w:fill="auto"/>
          </w:tcPr>
          <w:p w:rsidR="007B0B32" w:rsidRDefault="007B0B32" w:rsidP="00F35CAF">
            <w:pPr>
              <w:pStyle w:val="IndicatorText"/>
              <w:framePr w:hSpace="0" w:wrap="auto" w:vAnchor="margin" w:hAnchor="text" w:yAlign="inline"/>
            </w:pPr>
            <w:r w:rsidRPr="00EA43FE">
              <w:t>Estimates of TB incidence are produced through a consultative and analytical process led by WHO and are published annually. These estimates are based on annual case notifications, assessments of the quality and coverage of TB notification data, national surveys of the prevalence of TB disease and information from death (vital) registration systems.</w:t>
            </w:r>
            <w:r>
              <w:t xml:space="preserve"> </w:t>
            </w:r>
          </w:p>
          <w:p w:rsidR="007B0B32" w:rsidRDefault="007B0B32" w:rsidP="00F35CAF">
            <w:pPr>
              <w:pStyle w:val="IndicatorText"/>
              <w:framePr w:hSpace="0" w:wrap="auto" w:vAnchor="margin" w:hAnchor="text" w:yAlign="inline"/>
            </w:pPr>
            <w:r w:rsidRPr="00EA43FE">
              <w:t>Estimates of incidence for each country are derived</w:t>
            </w:r>
            <w:r>
              <w:t>,</w:t>
            </w:r>
            <w:r w:rsidRPr="00EA43FE">
              <w:t xml:space="preserve"> using one or more of the following approaches depending on available data:</w:t>
            </w:r>
            <w:r>
              <w:t xml:space="preserve"> (i)</w:t>
            </w:r>
            <w:r w:rsidRPr="00EA43FE">
              <w:t xml:space="preserve"> incidence = case notifications/estimated proportio</w:t>
            </w:r>
            <w:r>
              <w:t>n of</w:t>
            </w:r>
            <w:r w:rsidRPr="00EA43FE">
              <w:t xml:space="preserve"> cases detected</w:t>
            </w:r>
            <w:r>
              <w:t>; (ii)</w:t>
            </w:r>
            <w:r w:rsidRPr="00EA43FE">
              <w:t xml:space="preserve"> incidence = prevalence/duratio</w:t>
            </w:r>
            <w:r>
              <w:t>n of</w:t>
            </w:r>
            <w:r w:rsidRPr="00EA43FE">
              <w:t xml:space="preserve"> condition</w:t>
            </w:r>
            <w:r>
              <w:t>; (iii)</w:t>
            </w:r>
            <w:r w:rsidRPr="00EA43FE">
              <w:t xml:space="preserve"> incidence = deaths/proportio</w:t>
            </w:r>
            <w:r>
              <w:t>n of</w:t>
            </w:r>
            <w:r w:rsidRPr="00EA43FE">
              <w:t xml:space="preserve"> incident cases that die</w:t>
            </w:r>
            <w:r>
              <w:t>.</w:t>
            </w:r>
          </w:p>
          <w:p w:rsidR="007B0B32" w:rsidRDefault="007B0B32" w:rsidP="00F35CAF">
            <w:pPr>
              <w:pStyle w:val="IndicatorText"/>
              <w:framePr w:hSpace="0" w:wrap="auto" w:vAnchor="margin" w:hAnchor="text" w:yAlign="inline"/>
            </w:pPr>
            <w:r w:rsidRPr="00EA43FE">
              <w:t>Uncertainty bounds are provided</w:t>
            </w:r>
            <w:r>
              <w:t xml:space="preserve"> in addition to best estimates.</w:t>
            </w:r>
          </w:p>
          <w:p w:rsidR="007B0B32" w:rsidRPr="00EA43FE" w:rsidRDefault="007B0B32" w:rsidP="00F35CAF">
            <w:pPr>
              <w:pStyle w:val="IndicatorText"/>
              <w:framePr w:hSpace="0" w:wrap="auto" w:vAnchor="margin" w:hAnchor="text" w:yAlign="inline"/>
            </w:pPr>
            <w:r w:rsidRPr="00EA43FE">
              <w:t xml:space="preserve">Details are available from </w:t>
            </w:r>
            <w:r w:rsidRPr="007B5CE3">
              <w:rPr>
                <w:i/>
              </w:rPr>
              <w:t>TB impact measurement</w:t>
            </w:r>
            <w:r>
              <w:rPr>
                <w:i/>
              </w:rPr>
              <w:t>: p</w:t>
            </w:r>
            <w:r w:rsidRPr="00EA13C0">
              <w:rPr>
                <w:i/>
              </w:rPr>
              <w:t>olicy and recommendations for how to assess the epidemiological burden of TB and the impact of TB control</w:t>
            </w:r>
            <w:r w:rsidRPr="00EA43FE">
              <w:t xml:space="preserve"> and </w:t>
            </w:r>
            <w:r>
              <w:t>from the online technical appendix to</w:t>
            </w:r>
            <w:r w:rsidRPr="00EA43FE">
              <w:t xml:space="preserve"> the </w:t>
            </w:r>
            <w:r w:rsidRPr="00EA13C0">
              <w:rPr>
                <w:i/>
              </w:rPr>
              <w:t>WHO global tuberculosis report</w:t>
            </w:r>
            <w:r>
              <w:rPr>
                <w:i/>
              </w:rPr>
              <w:t xml:space="preserve"> 2014</w:t>
            </w:r>
            <w:r>
              <w:t>.</w:t>
            </w:r>
          </w:p>
        </w:tc>
      </w:tr>
      <w:tr w:rsidR="007B0B32" w:rsidRPr="00DE0966" w:rsidTr="00F35CAF">
        <w:trPr>
          <w:trHeight w:val="224"/>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Measurement frequency</w:t>
            </w:r>
          </w:p>
        </w:tc>
        <w:tc>
          <w:tcPr>
            <w:tcW w:w="7654" w:type="dxa"/>
            <w:shd w:val="clear" w:color="auto" w:fill="auto"/>
          </w:tcPr>
          <w:p w:rsidR="007B0B32" w:rsidRPr="00EA43FE" w:rsidRDefault="007B0B32" w:rsidP="00F35CAF">
            <w:pPr>
              <w:pStyle w:val="IndicatorText"/>
              <w:framePr w:hSpace="0" w:wrap="auto" w:vAnchor="margin" w:hAnchor="text" w:yAlign="inline"/>
            </w:pPr>
            <w:r w:rsidRPr="00EA43FE">
              <w:t>Annual</w:t>
            </w:r>
          </w:p>
        </w:tc>
      </w:tr>
      <w:tr w:rsidR="007B0B32" w:rsidRPr="00DE0966" w:rsidTr="00F35CAF">
        <w:trPr>
          <w:trHeight w:val="159"/>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3634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EA43FE">
              <w:rPr>
                <w:rFonts w:eastAsia="Times New Roman" w:cstheme="minorHAnsi"/>
                <w:color w:val="003366"/>
                <w:sz w:val="16"/>
                <w:szCs w:val="16"/>
              </w:rPr>
              <w:t>framework</w:t>
            </w:r>
          </w:p>
        </w:tc>
        <w:tc>
          <w:tcPr>
            <w:tcW w:w="7654" w:type="dxa"/>
            <w:shd w:val="clear" w:color="auto" w:fill="auto"/>
          </w:tcPr>
          <w:p w:rsidR="007B0B32" w:rsidRPr="00EA43FE" w:rsidRDefault="007B0B32" w:rsidP="00F35CAF">
            <w:pPr>
              <w:pStyle w:val="IndicatorText"/>
              <w:framePr w:hSpace="0" w:wrap="auto" w:vAnchor="margin" w:hAnchor="text" w:yAlign="inline"/>
            </w:pPr>
            <w:r w:rsidRPr="00EA43FE">
              <w:t>Impact</w:t>
            </w:r>
          </w:p>
        </w:tc>
      </w:tr>
      <w:tr w:rsidR="007B0B32" w:rsidRPr="00DE0966" w:rsidTr="00F35CAF">
        <w:trPr>
          <w:trHeight w:val="82"/>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Preferred data sources</w:t>
            </w:r>
          </w:p>
        </w:tc>
        <w:tc>
          <w:tcPr>
            <w:tcW w:w="7654" w:type="dxa"/>
            <w:shd w:val="clear" w:color="auto" w:fill="auto"/>
          </w:tcPr>
          <w:p w:rsidR="007B0B32" w:rsidRPr="00EA43FE" w:rsidRDefault="007B0B32" w:rsidP="00F35CAF">
            <w:pPr>
              <w:pStyle w:val="IndicatorText"/>
              <w:framePr w:hSpace="0" w:wrap="auto" w:vAnchor="margin" w:hAnchor="text" w:yAlign="inline"/>
            </w:pPr>
            <w:r w:rsidRPr="00EA43FE">
              <w:t>High quality TB surveillance system (linked to routine facility information system)</w:t>
            </w:r>
          </w:p>
        </w:tc>
      </w:tr>
      <w:tr w:rsidR="007B0B32" w:rsidRPr="00DE0966" w:rsidTr="00F35CAF">
        <w:trPr>
          <w:trHeight w:val="160"/>
        </w:trPr>
        <w:tc>
          <w:tcPr>
            <w:tcW w:w="2042" w:type="dxa"/>
            <w:tcBorders>
              <w:top w:val="nil"/>
              <w:bottom w:val="nil"/>
            </w:tcBorders>
            <w:shd w:val="clear" w:color="000000" w:fill="E6F0FA"/>
          </w:tcPr>
          <w:p w:rsidR="007B0B32" w:rsidRPr="00EA43FE" w:rsidRDefault="007B0B32" w:rsidP="00F35CAF">
            <w:pPr>
              <w:spacing w:before="80" w:after="80"/>
              <w:rPr>
                <w:rFonts w:eastAsia="Times New Roman" w:cstheme="minorHAnsi"/>
                <w:color w:val="003366"/>
                <w:sz w:val="16"/>
                <w:szCs w:val="16"/>
              </w:rPr>
            </w:pPr>
            <w:r w:rsidRPr="00EA43FE">
              <w:rPr>
                <w:rFonts w:eastAsia="Times New Roman" w:cstheme="minorHAnsi"/>
                <w:color w:val="003366"/>
                <w:sz w:val="16"/>
                <w:szCs w:val="16"/>
              </w:rPr>
              <w:t>Other possible data sources</w:t>
            </w:r>
          </w:p>
        </w:tc>
        <w:tc>
          <w:tcPr>
            <w:tcW w:w="7654" w:type="dxa"/>
            <w:shd w:val="clear" w:color="auto" w:fill="auto"/>
          </w:tcPr>
          <w:p w:rsidR="007B0B32" w:rsidRPr="00EA43FE" w:rsidRDefault="007B0B32" w:rsidP="00F35CAF">
            <w:pPr>
              <w:pStyle w:val="IndicatorText"/>
              <w:framePr w:hSpace="0" w:wrap="auto" w:vAnchor="margin" w:hAnchor="text" w:yAlign="inline"/>
            </w:pPr>
            <w:r w:rsidRPr="00EA43FE">
              <w:t>Population-based health surveys with TB diagnostic testing</w:t>
            </w:r>
          </w:p>
        </w:tc>
      </w:tr>
      <w:tr w:rsidR="007B0B32" w:rsidRPr="00DE0966" w:rsidTr="00F35CAF">
        <w:trPr>
          <w:trHeight w:val="160"/>
        </w:trPr>
        <w:tc>
          <w:tcPr>
            <w:tcW w:w="2042" w:type="dxa"/>
            <w:tcBorders>
              <w:top w:val="nil"/>
              <w:bottom w:val="single" w:sz="4" w:space="0" w:color="A3BBD5"/>
            </w:tcBorders>
            <w:shd w:val="clear" w:color="000000" w:fill="E6F0FA"/>
          </w:tcPr>
          <w:p w:rsidR="007B0B32" w:rsidRPr="00EA43FE"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7B0B32" w:rsidRPr="00AC5B0F" w:rsidRDefault="007B0B32" w:rsidP="00F35CAF">
            <w:pPr>
              <w:pStyle w:val="IndicatorText"/>
              <w:framePr w:hSpace="0" w:wrap="auto" w:vAnchor="margin" w:hAnchor="text" w:yAlign="inline"/>
              <w:rPr>
                <w:szCs w:val="16"/>
              </w:rPr>
            </w:pPr>
            <w:r w:rsidRPr="00845104">
              <w:rPr>
                <w:rFonts w:eastAsia="Times New Roman"/>
                <w:szCs w:val="16"/>
                <w:lang w:val="en-US"/>
              </w:rPr>
              <w:t>Definitions and reporting framework for tuberculosis – 2013 revision (WHO/HTM/TB/2013.2). Geneva: World Health Organization; 2013 (</w:t>
            </w:r>
            <w:r w:rsidRPr="0056160E">
              <w:rPr>
                <w:rFonts w:eastAsia="Times New Roman"/>
                <w:szCs w:val="16"/>
                <w:lang w:val="en-US"/>
              </w:rPr>
              <w:t>http://www.who.int/tb/publications/definitions/en/</w:t>
            </w:r>
            <w:r w:rsidRPr="00845104">
              <w:rPr>
                <w:rFonts w:eastAsia="Times New Roman"/>
                <w:szCs w:val="16"/>
                <w:lang w:val="en-US"/>
              </w:rPr>
              <w:t>, accessed 29 March 2015).</w:t>
            </w:r>
          </w:p>
          <w:p w:rsidR="007B0B32" w:rsidRPr="00EA43FE" w:rsidRDefault="007B0B32" w:rsidP="00F35CAF">
            <w:pPr>
              <w:pStyle w:val="IndicatorText"/>
              <w:framePr w:hSpace="0" w:wrap="auto" w:vAnchor="margin" w:hAnchor="text" w:yAlign="inline"/>
            </w:pPr>
            <w:r w:rsidRPr="00946EAB">
              <w:rPr>
                <w:lang w:val="en-US"/>
              </w:rPr>
              <w:t>Global tuberculosis report 2014. Geneva: World Health Organization; 2014</w:t>
            </w:r>
            <w:r>
              <w:rPr>
                <w:lang w:val="en-US"/>
              </w:rPr>
              <w:t xml:space="preserve"> </w:t>
            </w:r>
            <w:r w:rsidRPr="00946EAB">
              <w:rPr>
                <w:lang w:val="en-US"/>
              </w:rPr>
              <w:t>(</w:t>
            </w:r>
            <w:r w:rsidRPr="0056160E">
              <w:rPr>
                <w:lang w:val="en-US"/>
              </w:rPr>
              <w:t>http://www.who.int/tb/publications/global_report/en/</w:t>
            </w:r>
            <w:r w:rsidRPr="00946EAB">
              <w:rPr>
                <w:lang w:val="en-US"/>
              </w:rPr>
              <w:t>, accessed 29 March 2015).</w:t>
            </w:r>
          </w:p>
          <w:p w:rsidR="007B0B32" w:rsidRPr="00EA43FE" w:rsidRDefault="007B0B32" w:rsidP="00F35CAF">
            <w:pPr>
              <w:pStyle w:val="IndicatorText"/>
              <w:framePr w:hSpace="0" w:wrap="auto" w:vAnchor="margin" w:hAnchor="text" w:yAlign="inline"/>
            </w:pPr>
            <w:r w:rsidRPr="00947411">
              <w:rPr>
                <w:lang w:val="en-US"/>
              </w:rPr>
              <w:t>Indicators for monitoring the Millennium Development Goals: definitions, rationale, concepts and sources. New York (NY): United Nations; 2012 (</w:t>
            </w:r>
            <w:r w:rsidRPr="0056160E">
              <w:rPr>
                <w:lang w:val="en-US"/>
              </w:rPr>
              <w:t>http://mdgs.un.org/unsd/mi/wiki/MainPage.ashx</w:t>
            </w:r>
            <w:r w:rsidRPr="00947411">
              <w:rPr>
                <w:lang w:val="en-US"/>
              </w:rPr>
              <w:t>, accessed 29 March 2015).</w:t>
            </w:r>
          </w:p>
          <w:p w:rsidR="007B0B32" w:rsidRPr="00AC5B0F" w:rsidRDefault="007B0B32" w:rsidP="00F35CAF">
            <w:pPr>
              <w:pStyle w:val="IndicatorText"/>
              <w:framePr w:hSpace="0" w:wrap="auto" w:vAnchor="margin" w:hAnchor="text" w:yAlign="inline"/>
              <w:rPr>
                <w:szCs w:val="16"/>
              </w:rPr>
            </w:pPr>
            <w:r w:rsidRPr="003E4796">
              <w:rPr>
                <w:lang w:val="en-US"/>
              </w:rPr>
              <w:t>World Health Assembly governing body documentation: official records. Geneva: World Health Organization (</w:t>
            </w:r>
            <w:r w:rsidRPr="0056160E">
              <w:rPr>
                <w:lang w:val="en-US"/>
              </w:rPr>
              <w:t>http://apps.who.int/gb/or/</w:t>
            </w:r>
            <w:r w:rsidRPr="003E4796">
              <w:rPr>
                <w:lang w:val="en-US"/>
              </w:rPr>
              <w:t>, accessed 29 March 2015).</w:t>
            </w:r>
          </w:p>
        </w:tc>
      </w:tr>
    </w:tbl>
    <w:p w:rsidR="007B0B32" w:rsidRDefault="007B0B32" w:rsidP="007B0B32"/>
    <w:p w:rsidR="007B0B32" w:rsidRDefault="007B0B32" w:rsidP="007B0B32"/>
    <w:p w:rsidR="0099691F" w:rsidRPr="00277801" w:rsidRDefault="0099691F" w:rsidP="0099691F">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3</w:t>
      </w:r>
      <w:r w:rsidRPr="00277801">
        <w:rPr>
          <w:color w:val="FFFFFF" w:themeColor="background1"/>
        </w:rPr>
        <w:t xml:space="preserve">: </w:t>
      </w:r>
      <w:r>
        <w:rPr>
          <w:color w:val="FFFFFF" w:themeColor="background1"/>
        </w:rPr>
        <w:tab/>
      </w:r>
      <w:r w:rsidRPr="00277801">
        <w:rPr>
          <w:color w:val="FFFFFF" w:themeColor="background1"/>
        </w:rPr>
        <w:t>By 2030, end the epidemics of AIDS, tuberculosis, malaria and neglected tropical diseases and combat</w:t>
      </w:r>
      <w:r>
        <w:rPr>
          <w:color w:val="FFFFFF" w:themeColor="background1"/>
        </w:rPr>
        <w:br/>
        <w:t>h</w:t>
      </w:r>
      <w:r w:rsidRPr="00277801">
        <w:rPr>
          <w:color w:val="FFFFFF" w:themeColor="background1"/>
        </w:rPr>
        <w:t>epatitis, water-borne diseases and other communicable disease</w:t>
      </w:r>
    </w:p>
    <w:p w:rsidR="007B0B32" w:rsidRDefault="007B0B32" w:rsidP="0099691F">
      <w:pPr>
        <w:pStyle w:val="Tablesub-heading"/>
      </w:pPr>
      <w:r>
        <w:t>Indicator 3.3.4</w:t>
      </w:r>
      <w:r w:rsidR="0099691F">
        <w:t>:</w:t>
      </w:r>
      <w:r w:rsidR="0099691F">
        <w:tab/>
      </w:r>
      <w:commentRangeStart w:id="10"/>
      <w:r w:rsidRPr="007B0B32">
        <w:t>Number of TB deaths</w:t>
      </w:r>
      <w:commentRangeEnd w:id="10"/>
      <w:r w:rsidR="0099691F">
        <w:rPr>
          <w:rStyle w:val="CommentReference"/>
          <w:rFonts w:ascii="Garamond" w:eastAsia="SimSun" w:hAnsi="Garamond" w:cs="Times New Roman"/>
          <w:b w:val="0"/>
          <w:bCs w:val="0"/>
          <w:noProof w:val="0"/>
          <w:color w:val="auto"/>
          <w:lang w:val="en-US"/>
        </w:rPr>
        <w:commentReference w:id="10"/>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7B0B32" w:rsidRPr="00DE0966" w:rsidTr="00F35CAF">
        <w:trPr>
          <w:trHeight w:val="117"/>
        </w:trPr>
        <w:tc>
          <w:tcPr>
            <w:tcW w:w="2042" w:type="dxa"/>
            <w:tcBorders>
              <w:top w:val="single" w:sz="4" w:space="0" w:color="A3BBD5"/>
              <w:bottom w:val="nil"/>
            </w:tcBorders>
            <w:shd w:val="clear" w:color="000000" w:fill="E6F0FA"/>
            <w:hideMark/>
          </w:tcPr>
          <w:p w:rsidR="007B0B32" w:rsidRPr="003204E3"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7B0B32" w:rsidRPr="007F4091" w:rsidRDefault="007B0B32" w:rsidP="00F35CAF">
            <w:pPr>
              <w:pStyle w:val="IndicatorName"/>
              <w:framePr w:hSpace="0" w:wrap="auto" w:vAnchor="margin" w:hAnchor="text" w:yAlign="inline"/>
              <w:rPr>
                <w:szCs w:val="16"/>
              </w:rPr>
            </w:pPr>
            <w:bookmarkStart w:id="11" w:name="_Toc418774219"/>
            <w:r>
              <w:t>TB</w:t>
            </w:r>
            <w:r w:rsidRPr="005652F4">
              <w:t xml:space="preserve"> mortality rate</w:t>
            </w:r>
            <w:bookmarkEnd w:id="11"/>
          </w:p>
        </w:tc>
      </w:tr>
      <w:tr w:rsidR="007B0B32" w:rsidRPr="00DE0966" w:rsidTr="00F35CAF">
        <w:trPr>
          <w:trHeight w:val="35"/>
        </w:trPr>
        <w:tc>
          <w:tcPr>
            <w:tcW w:w="2042" w:type="dxa"/>
            <w:tcBorders>
              <w:top w:val="nil"/>
              <w:bottom w:val="nil"/>
            </w:tcBorders>
            <w:shd w:val="clear" w:color="000000" w:fill="E6F0FA"/>
            <w:hideMark/>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Indicator name</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sidRPr="007F4091">
              <w:rPr>
                <w:szCs w:val="16"/>
              </w:rPr>
              <w:t>T</w:t>
            </w:r>
            <w:r>
              <w:rPr>
                <w:szCs w:val="16"/>
              </w:rPr>
              <w:t>uberculosis (T</w:t>
            </w:r>
            <w:r w:rsidRPr="007F4091">
              <w:rPr>
                <w:szCs w:val="16"/>
              </w:rPr>
              <w:t>B</w:t>
            </w:r>
            <w:r>
              <w:rPr>
                <w:szCs w:val="16"/>
              </w:rPr>
              <w:t>)</w:t>
            </w:r>
            <w:r w:rsidRPr="007F4091">
              <w:rPr>
                <w:szCs w:val="16"/>
              </w:rPr>
              <w:t xml:space="preserve"> mortality rate (per 100 000 population)</w:t>
            </w:r>
          </w:p>
        </w:tc>
      </w:tr>
      <w:tr w:rsidR="007B0B32" w:rsidRPr="00DE0966" w:rsidTr="00F35CAF">
        <w:trPr>
          <w:trHeight w:val="23"/>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Domain</w:t>
            </w:r>
          </w:p>
        </w:tc>
        <w:tc>
          <w:tcPr>
            <w:tcW w:w="7654" w:type="dxa"/>
            <w:shd w:val="clear" w:color="auto" w:fill="auto"/>
          </w:tcPr>
          <w:p w:rsidR="007B0B32" w:rsidRPr="007F4091" w:rsidRDefault="007B0B32" w:rsidP="00F35CAF">
            <w:pPr>
              <w:pStyle w:val="IndicatorText"/>
              <w:framePr w:hSpace="0" w:wrap="auto" w:vAnchor="margin" w:hAnchor="text" w:yAlign="inline"/>
              <w:rPr>
                <w:rFonts w:ascii="Calibri" w:hAnsi="Calibri" w:cs="Calibri"/>
                <w:szCs w:val="16"/>
              </w:rPr>
            </w:pPr>
            <w:r w:rsidRPr="007F4091">
              <w:rPr>
                <w:rFonts w:ascii="Calibri" w:hAnsi="Calibri" w:cs="Calibri"/>
                <w:szCs w:val="16"/>
              </w:rPr>
              <w:t>Health status</w:t>
            </w:r>
          </w:p>
        </w:tc>
      </w:tr>
      <w:tr w:rsidR="007B0B32" w:rsidRPr="00DE0966" w:rsidTr="00F35CAF">
        <w:trPr>
          <w:trHeight w:val="23"/>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7B0B32" w:rsidRPr="007F4091" w:rsidRDefault="007B0B32" w:rsidP="00F35CAF">
            <w:pPr>
              <w:pStyle w:val="IndicatorText"/>
              <w:framePr w:hSpace="0" w:wrap="auto" w:vAnchor="margin" w:hAnchor="text" w:yAlign="inline"/>
              <w:rPr>
                <w:rFonts w:ascii="Calibri" w:hAnsi="Calibri" w:cs="Calibri"/>
                <w:szCs w:val="16"/>
              </w:rPr>
            </w:pPr>
            <w:r>
              <w:rPr>
                <w:rFonts w:ascii="Calibri" w:hAnsi="Calibri" w:cs="Calibri"/>
                <w:szCs w:val="16"/>
              </w:rPr>
              <w:t>Infectious disease</w:t>
            </w:r>
          </w:p>
        </w:tc>
      </w:tr>
      <w:tr w:rsidR="007B0B32" w:rsidRPr="00DE0966" w:rsidTr="00F35CAF">
        <w:trPr>
          <w:trHeight w:val="23"/>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Associated terms</w:t>
            </w:r>
          </w:p>
        </w:tc>
        <w:tc>
          <w:tcPr>
            <w:tcW w:w="7654" w:type="dxa"/>
            <w:shd w:val="clear" w:color="auto" w:fill="auto"/>
          </w:tcPr>
          <w:p w:rsidR="007B0B32" w:rsidRPr="007F4091" w:rsidRDefault="007B0B32" w:rsidP="00F35CAF">
            <w:pPr>
              <w:pStyle w:val="IndicatorText"/>
              <w:framePr w:hSpace="0" w:wrap="auto" w:vAnchor="margin" w:hAnchor="text" w:yAlign="inline"/>
              <w:rPr>
                <w:rFonts w:ascii="Calibri" w:hAnsi="Calibri" w:cs="Calibri"/>
                <w:szCs w:val="16"/>
              </w:rPr>
            </w:pPr>
            <w:r w:rsidRPr="007F4091">
              <w:rPr>
                <w:rFonts w:ascii="Calibri" w:hAnsi="Calibri" w:cs="Calibri"/>
                <w:szCs w:val="16"/>
              </w:rPr>
              <w:t>Mortality by cause</w:t>
            </w:r>
          </w:p>
        </w:tc>
      </w:tr>
      <w:tr w:rsidR="007B0B32" w:rsidRPr="00DE0966" w:rsidTr="00F35CAF">
        <w:trPr>
          <w:trHeight w:val="23"/>
        </w:trPr>
        <w:tc>
          <w:tcPr>
            <w:tcW w:w="2042" w:type="dxa"/>
            <w:tcBorders>
              <w:top w:val="nil"/>
              <w:bottom w:val="nil"/>
            </w:tcBorders>
            <w:shd w:val="clear" w:color="000000" w:fill="E6F0FA"/>
          </w:tcPr>
          <w:p w:rsidR="007B0B32" w:rsidRPr="009E35C3" w:rsidRDefault="007B0B32" w:rsidP="00F35CAF">
            <w:pPr>
              <w:spacing w:before="80" w:after="80"/>
              <w:rPr>
                <w:rFonts w:eastAsia="Times New Roman" w:cstheme="minorHAnsi"/>
                <w:color w:val="003366"/>
                <w:sz w:val="16"/>
                <w:szCs w:val="16"/>
              </w:rPr>
            </w:pPr>
            <w:r w:rsidRPr="009E35C3">
              <w:rPr>
                <w:rFonts w:eastAsia="Times New Roman" w:cstheme="minorHAnsi"/>
                <w:color w:val="003366"/>
                <w:sz w:val="16"/>
                <w:szCs w:val="16"/>
              </w:rPr>
              <w:t>Definition</w:t>
            </w:r>
          </w:p>
        </w:tc>
        <w:tc>
          <w:tcPr>
            <w:tcW w:w="7654" w:type="dxa"/>
            <w:shd w:val="clear" w:color="auto" w:fill="auto"/>
          </w:tcPr>
          <w:p w:rsidR="007B0B32" w:rsidRPr="009E35C3" w:rsidRDefault="007B0B32" w:rsidP="00F35CAF">
            <w:pPr>
              <w:pStyle w:val="IndicatorText"/>
              <w:framePr w:hSpace="0" w:wrap="auto" w:vAnchor="margin" w:hAnchor="text" w:yAlign="inline"/>
              <w:rPr>
                <w:szCs w:val="16"/>
              </w:rPr>
            </w:pPr>
            <w:r w:rsidRPr="009E35C3">
              <w:rPr>
                <w:szCs w:val="16"/>
              </w:rPr>
              <w:t>Estimated number of deaths attributable to TB in a given year, expressed as a rate per 100 000 population.</w:t>
            </w:r>
          </w:p>
        </w:tc>
      </w:tr>
      <w:tr w:rsidR="007B0B32" w:rsidRPr="00DE0966" w:rsidTr="00F35CAF">
        <w:trPr>
          <w:trHeight w:val="23"/>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Numerator</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Pr>
                <w:szCs w:val="16"/>
              </w:rPr>
              <w:t>Number of</w:t>
            </w:r>
            <w:r w:rsidRPr="007F4091">
              <w:rPr>
                <w:szCs w:val="16"/>
              </w:rPr>
              <w:t xml:space="preserve"> deaths due to TB (all forms)</w:t>
            </w:r>
            <w:r>
              <w:rPr>
                <w:szCs w:val="16"/>
              </w:rPr>
              <w:t>, excluding deaths in HIV-positive TB cases.</w:t>
            </w:r>
          </w:p>
        </w:tc>
      </w:tr>
      <w:tr w:rsidR="007B0B32" w:rsidRPr="00DE0966" w:rsidTr="00F35CAF">
        <w:trPr>
          <w:trHeight w:val="62"/>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Denominator</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Pr>
                <w:szCs w:val="16"/>
              </w:rPr>
              <w:t>Number of</w:t>
            </w:r>
            <w:r w:rsidRPr="007F4091">
              <w:rPr>
                <w:szCs w:val="16"/>
              </w:rPr>
              <w:t xml:space="preserve"> years of exposure</w:t>
            </w:r>
            <w:r>
              <w:rPr>
                <w:szCs w:val="16"/>
              </w:rPr>
              <w:t>.</w:t>
            </w:r>
          </w:p>
        </w:tc>
      </w:tr>
      <w:tr w:rsidR="007B0B32" w:rsidRPr="00DE0966" w:rsidTr="00F35CAF">
        <w:trPr>
          <w:trHeight w:val="268"/>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Disaggregation/</w:t>
            </w:r>
            <w:r w:rsidRPr="003204E3">
              <w:rPr>
                <w:rFonts w:eastAsia="Times New Roman" w:cstheme="minorHAnsi"/>
                <w:color w:val="003366"/>
                <w:sz w:val="16"/>
                <w:szCs w:val="16"/>
              </w:rPr>
              <w:br/>
              <w:t>additional dimension</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Pr>
                <w:szCs w:val="16"/>
              </w:rPr>
              <w:t>A</w:t>
            </w:r>
            <w:r w:rsidRPr="007F4091">
              <w:rPr>
                <w:szCs w:val="16"/>
              </w:rPr>
              <w:t xml:space="preserve">ge, </w:t>
            </w:r>
            <w:r>
              <w:rPr>
                <w:szCs w:val="16"/>
              </w:rPr>
              <w:t>p</w:t>
            </w:r>
            <w:r w:rsidRPr="007F4091">
              <w:rPr>
                <w:szCs w:val="16"/>
              </w:rPr>
              <w:t xml:space="preserve">lace of residence, </w:t>
            </w:r>
            <w:r>
              <w:rPr>
                <w:szCs w:val="16"/>
              </w:rPr>
              <w:t>s</w:t>
            </w:r>
            <w:r w:rsidRPr="007F4091">
              <w:rPr>
                <w:szCs w:val="16"/>
              </w:rPr>
              <w:t>ex</w:t>
            </w:r>
            <w:r>
              <w:rPr>
                <w:szCs w:val="16"/>
              </w:rPr>
              <w:t>, s</w:t>
            </w:r>
            <w:r w:rsidRPr="007F4091">
              <w:rPr>
                <w:szCs w:val="16"/>
              </w:rPr>
              <w:t>ocioeconomic status</w:t>
            </w:r>
          </w:p>
        </w:tc>
      </w:tr>
      <w:tr w:rsidR="007B0B32" w:rsidRPr="00DE0966" w:rsidTr="00F35CAF">
        <w:trPr>
          <w:trHeight w:val="122"/>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Method of measurement</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sidRPr="007F4091">
              <w:rPr>
                <w:szCs w:val="16"/>
              </w:rPr>
              <w:t xml:space="preserve">Vital registration data </w:t>
            </w:r>
            <w:r>
              <w:rPr>
                <w:szCs w:val="16"/>
              </w:rPr>
              <w:t xml:space="preserve">based on </w:t>
            </w:r>
            <w:r w:rsidRPr="007F4091">
              <w:rPr>
                <w:szCs w:val="16"/>
              </w:rPr>
              <w:t>ICD are used where available</w:t>
            </w:r>
            <w:r>
              <w:rPr>
                <w:szCs w:val="16"/>
              </w:rPr>
              <w:t xml:space="preserve"> (approximately 120 countries)</w:t>
            </w:r>
            <w:r w:rsidRPr="007F4091">
              <w:rPr>
                <w:szCs w:val="16"/>
              </w:rPr>
              <w:t>. Elsewhere, estimates of mortality are derived from estimates of incidence and the case fatality rate.</w:t>
            </w:r>
          </w:p>
        </w:tc>
      </w:tr>
      <w:tr w:rsidR="007B0B32" w:rsidRPr="00DE0966" w:rsidTr="00F35CAF">
        <w:trPr>
          <w:trHeight w:val="160"/>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Method of estimation</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sidRPr="007F4091">
              <w:rPr>
                <w:szCs w:val="16"/>
              </w:rPr>
              <w:t xml:space="preserve">Estimates of TB mortality are </w:t>
            </w:r>
            <w:r>
              <w:rPr>
                <w:szCs w:val="16"/>
              </w:rPr>
              <w:t>generated</w:t>
            </w:r>
            <w:r w:rsidRPr="007F4091">
              <w:rPr>
                <w:szCs w:val="16"/>
              </w:rPr>
              <w:t xml:space="preserve"> through a consultative and analytical process led by WHO and are published annually. Uncertainty bounds are provided in addition to best estimates. Published values are rounded to three significant figures.</w:t>
            </w:r>
            <w:r>
              <w:rPr>
                <w:szCs w:val="16"/>
              </w:rPr>
              <w:t xml:space="preserve"> Age standardization is done for comparability over time and between populations.</w:t>
            </w:r>
          </w:p>
        </w:tc>
      </w:tr>
      <w:tr w:rsidR="007B0B32" w:rsidRPr="00DE0966" w:rsidTr="00F35CAF">
        <w:trPr>
          <w:trHeight w:val="224"/>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Measurement frequency</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sidRPr="007F4091">
              <w:rPr>
                <w:szCs w:val="16"/>
              </w:rPr>
              <w:t>Annual</w:t>
            </w:r>
          </w:p>
        </w:tc>
      </w:tr>
      <w:tr w:rsidR="007B0B32" w:rsidRPr="00DE0966" w:rsidTr="00F35CAF">
        <w:trPr>
          <w:trHeight w:val="159"/>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87AB0">
              <w:rPr>
                <w:rFonts w:eastAsia="Times New Roman" w:cstheme="minorHAnsi"/>
                <w:color w:val="003366"/>
                <w:sz w:val="16"/>
                <w:szCs w:val="16"/>
              </w:rPr>
              <w:t xml:space="preserve">Monitoring and evaluation </w:t>
            </w:r>
            <w:r w:rsidRPr="003204E3">
              <w:rPr>
                <w:rFonts w:eastAsia="Times New Roman" w:cstheme="minorHAnsi"/>
                <w:color w:val="003366"/>
                <w:sz w:val="16"/>
                <w:szCs w:val="16"/>
              </w:rPr>
              <w:t>framework</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sidRPr="007F4091">
              <w:rPr>
                <w:szCs w:val="16"/>
              </w:rPr>
              <w:t>Impact</w:t>
            </w:r>
          </w:p>
        </w:tc>
      </w:tr>
      <w:tr w:rsidR="007B0B32" w:rsidRPr="00DE0966" w:rsidTr="00F35CAF">
        <w:trPr>
          <w:trHeight w:val="82"/>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Preferred data sources</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sidRPr="007F4091">
              <w:rPr>
                <w:szCs w:val="16"/>
              </w:rPr>
              <w:t>Civil registration with full coverage and cause of death based on ICD</w:t>
            </w:r>
          </w:p>
        </w:tc>
      </w:tr>
      <w:tr w:rsidR="007B0B32" w:rsidRPr="00DE0966" w:rsidTr="00F35CAF">
        <w:trPr>
          <w:trHeight w:val="160"/>
        </w:trPr>
        <w:tc>
          <w:tcPr>
            <w:tcW w:w="2042" w:type="dxa"/>
            <w:tcBorders>
              <w:top w:val="nil"/>
              <w:bottom w:val="nil"/>
            </w:tcBorders>
            <w:shd w:val="clear" w:color="000000" w:fill="E6F0FA"/>
          </w:tcPr>
          <w:p w:rsidR="007B0B32" w:rsidRPr="003204E3" w:rsidRDefault="007B0B32" w:rsidP="00F35CAF">
            <w:pPr>
              <w:spacing w:before="80" w:after="80"/>
              <w:rPr>
                <w:rFonts w:eastAsia="Times New Roman" w:cstheme="minorHAnsi"/>
                <w:color w:val="003366"/>
                <w:sz w:val="16"/>
                <w:szCs w:val="16"/>
              </w:rPr>
            </w:pPr>
            <w:r w:rsidRPr="003204E3">
              <w:rPr>
                <w:rFonts w:eastAsia="Times New Roman" w:cstheme="minorHAnsi"/>
                <w:color w:val="003366"/>
                <w:sz w:val="16"/>
                <w:szCs w:val="16"/>
              </w:rPr>
              <w:t>Other possible data sources</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sidRPr="007F4091">
              <w:rPr>
                <w:szCs w:val="16"/>
              </w:rPr>
              <w:t xml:space="preserve">Special studies, </w:t>
            </w:r>
            <w:r>
              <w:rPr>
                <w:szCs w:val="16"/>
              </w:rPr>
              <w:t>s</w:t>
            </w:r>
            <w:r w:rsidRPr="007F4091">
              <w:rPr>
                <w:szCs w:val="16"/>
              </w:rPr>
              <w:t xml:space="preserve">ample or sentinel registration systems, </w:t>
            </w:r>
            <w:r>
              <w:rPr>
                <w:szCs w:val="16"/>
              </w:rPr>
              <w:t>p</w:t>
            </w:r>
            <w:r w:rsidRPr="007F4091">
              <w:rPr>
                <w:szCs w:val="16"/>
              </w:rPr>
              <w:t>opulation survey</w:t>
            </w:r>
            <w:r>
              <w:rPr>
                <w:szCs w:val="16"/>
              </w:rPr>
              <w:t>s</w:t>
            </w:r>
            <w:r w:rsidRPr="007F4091">
              <w:rPr>
                <w:szCs w:val="16"/>
              </w:rPr>
              <w:t xml:space="preserve"> with verbal autopsy</w:t>
            </w:r>
          </w:p>
        </w:tc>
      </w:tr>
      <w:tr w:rsidR="007B0B32" w:rsidRPr="00DE0966" w:rsidTr="00F35CAF">
        <w:trPr>
          <w:trHeight w:val="160"/>
        </w:trPr>
        <w:tc>
          <w:tcPr>
            <w:tcW w:w="2042" w:type="dxa"/>
            <w:tcBorders>
              <w:top w:val="nil"/>
              <w:bottom w:val="single" w:sz="4" w:space="0" w:color="A3BBD5"/>
            </w:tcBorders>
            <w:shd w:val="clear" w:color="000000" w:fill="E6F0FA"/>
          </w:tcPr>
          <w:p w:rsidR="007B0B32" w:rsidRPr="003204E3" w:rsidRDefault="007B0B32"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7B0B32" w:rsidRPr="007F4091" w:rsidRDefault="007B0B32" w:rsidP="00F35CAF">
            <w:pPr>
              <w:pStyle w:val="IndicatorText"/>
              <w:framePr w:hSpace="0" w:wrap="auto" w:vAnchor="margin" w:hAnchor="text" w:yAlign="inline"/>
              <w:rPr>
                <w:szCs w:val="16"/>
              </w:rPr>
            </w:pPr>
            <w:r w:rsidRPr="00946EAB">
              <w:rPr>
                <w:szCs w:val="16"/>
                <w:lang w:val="en-US"/>
              </w:rPr>
              <w:t>Global tuberculosis report 2014. Geneva: World Health Organization; 2014</w:t>
            </w:r>
            <w:r>
              <w:rPr>
                <w:szCs w:val="16"/>
                <w:lang w:val="en-US"/>
              </w:rPr>
              <w:t xml:space="preserve"> </w:t>
            </w:r>
            <w:r w:rsidRPr="00946EAB">
              <w:rPr>
                <w:szCs w:val="16"/>
                <w:lang w:val="en-US"/>
              </w:rPr>
              <w:t>(</w:t>
            </w:r>
            <w:r w:rsidRPr="0056160E">
              <w:rPr>
                <w:szCs w:val="16"/>
                <w:lang w:val="en-US"/>
              </w:rPr>
              <w:t>http://www.who.int/tb/publications/global_report/en/</w:t>
            </w:r>
            <w:r w:rsidRPr="00946EAB">
              <w:rPr>
                <w:szCs w:val="16"/>
                <w:lang w:val="en-US"/>
              </w:rPr>
              <w:t>, accessed 29 March 2015).</w:t>
            </w:r>
          </w:p>
          <w:p w:rsidR="007B0B32" w:rsidRDefault="007B0B32" w:rsidP="00F35CAF">
            <w:pPr>
              <w:pStyle w:val="IndicatorText"/>
              <w:framePr w:hSpace="0" w:wrap="auto" w:vAnchor="margin" w:hAnchor="text" w:yAlign="inline"/>
              <w:rPr>
                <w:szCs w:val="16"/>
                <w:lang w:val="en-US"/>
              </w:rPr>
            </w:pPr>
            <w:r w:rsidRPr="00947411">
              <w:rPr>
                <w:szCs w:val="16"/>
                <w:lang w:val="en-US"/>
              </w:rPr>
              <w:t>Indicators for monitoring the Millennium Development Goals: definitions, rationale, concepts and sources. New York (NY): United Nations; 2012 (</w:t>
            </w:r>
            <w:r w:rsidRPr="0056160E">
              <w:rPr>
                <w:szCs w:val="16"/>
                <w:lang w:val="en-US"/>
              </w:rPr>
              <w:t>http://mdgs.un.org/unsd/mi/wiki/MainPage.ashx</w:t>
            </w:r>
            <w:r w:rsidRPr="00947411">
              <w:rPr>
                <w:szCs w:val="16"/>
                <w:lang w:val="en-US"/>
              </w:rPr>
              <w:t>, accessed 29 March 2015).</w:t>
            </w:r>
          </w:p>
          <w:p w:rsidR="007B0B32" w:rsidRDefault="007B0B32" w:rsidP="00F35CAF">
            <w:pPr>
              <w:pStyle w:val="IndicatorText"/>
              <w:framePr w:hSpace="0" w:wrap="auto" w:vAnchor="margin" w:hAnchor="text" w:yAlign="inline"/>
              <w:rPr>
                <w:szCs w:val="16"/>
                <w:lang w:val="en-US"/>
              </w:rPr>
            </w:pPr>
            <w:r w:rsidRPr="003E4796">
              <w:rPr>
                <w:szCs w:val="16"/>
                <w:lang w:val="en-US"/>
              </w:rPr>
              <w:t>World Health Assembly governing body documentation: official records. Geneva: World Health Organization (</w:t>
            </w:r>
            <w:r w:rsidRPr="0056160E">
              <w:rPr>
                <w:szCs w:val="16"/>
                <w:lang w:val="en-US"/>
              </w:rPr>
              <w:t>http://apps.who.int/gb/or/</w:t>
            </w:r>
            <w:r w:rsidRPr="003E4796">
              <w:rPr>
                <w:szCs w:val="16"/>
                <w:lang w:val="en-US"/>
              </w:rPr>
              <w:t>, accessed 29 March 2015).</w:t>
            </w:r>
          </w:p>
          <w:p w:rsidR="007B0B32" w:rsidRPr="007F4091" w:rsidRDefault="007B0B32" w:rsidP="00F35CAF">
            <w:pPr>
              <w:pStyle w:val="IndicatorText"/>
              <w:framePr w:hSpace="0" w:wrap="auto" w:vAnchor="margin" w:hAnchor="text" w:yAlign="inline"/>
              <w:rPr>
                <w:szCs w:val="16"/>
              </w:rPr>
            </w:pPr>
            <w:r w:rsidRPr="00B2514B">
              <w:rPr>
                <w:szCs w:val="16"/>
                <w:lang w:val="en-US"/>
              </w:rPr>
              <w:t>World health statistics 2014. Geneva: World Health Organization; 2014 (</w:t>
            </w:r>
            <w:r w:rsidRPr="0056160E">
              <w:rPr>
                <w:szCs w:val="16"/>
                <w:lang w:val="en-US"/>
              </w:rPr>
              <w:t>http://apps.who.int/iris/bitstream/10665/112738/1/9789240692671_eng.pdf?ua=1</w:t>
            </w:r>
            <w:r w:rsidRPr="00B2514B">
              <w:rPr>
                <w:szCs w:val="16"/>
                <w:lang w:val="en-US"/>
              </w:rPr>
              <w:t>, accessed 29 March 2015).</w:t>
            </w:r>
          </w:p>
        </w:tc>
      </w:tr>
    </w:tbl>
    <w:p w:rsidR="007B0B32" w:rsidRDefault="007B0B32" w:rsidP="007B0B32"/>
    <w:p w:rsidR="007B0B32" w:rsidRDefault="007B0B32" w:rsidP="007B0B32">
      <w:r>
        <w:br w:type="page"/>
      </w:r>
    </w:p>
    <w:p w:rsidR="0099691F" w:rsidRPr="00277801" w:rsidRDefault="0099691F" w:rsidP="0099691F">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3</w:t>
      </w:r>
      <w:r w:rsidRPr="00277801">
        <w:rPr>
          <w:color w:val="FFFFFF" w:themeColor="background1"/>
        </w:rPr>
        <w:t xml:space="preserve">: </w:t>
      </w:r>
      <w:r>
        <w:rPr>
          <w:color w:val="FFFFFF" w:themeColor="background1"/>
        </w:rPr>
        <w:tab/>
      </w:r>
      <w:r w:rsidRPr="00277801">
        <w:rPr>
          <w:color w:val="FFFFFF" w:themeColor="background1"/>
        </w:rPr>
        <w:t>By 2030, end the epidemics of AIDS, tuberculosis, malaria and neglected tropical diseases and combat</w:t>
      </w:r>
      <w:r>
        <w:rPr>
          <w:color w:val="FFFFFF" w:themeColor="background1"/>
        </w:rPr>
        <w:br/>
        <w:t>h</w:t>
      </w:r>
      <w:r w:rsidRPr="00277801">
        <w:rPr>
          <w:color w:val="FFFFFF" w:themeColor="background1"/>
        </w:rPr>
        <w:t>epatitis, water-borne diseases and other communicable disease</w:t>
      </w:r>
    </w:p>
    <w:p w:rsidR="007B0B32" w:rsidRDefault="00F35CAF" w:rsidP="0099691F">
      <w:pPr>
        <w:pStyle w:val="Tablesub-heading"/>
      </w:pPr>
      <w:r>
        <w:t>Indicator 3.3.5</w:t>
      </w:r>
      <w:r w:rsidR="0099691F">
        <w:t>:</w:t>
      </w:r>
      <w:r w:rsidR="0099691F">
        <w:tab/>
      </w:r>
      <w:r w:rsidRPr="00F35CAF">
        <w:t>Malaria incident cases per 1,000 person years</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F35CAF" w:rsidRPr="00DE0966" w:rsidTr="00F35CAF">
        <w:trPr>
          <w:trHeight w:val="117"/>
        </w:trPr>
        <w:tc>
          <w:tcPr>
            <w:tcW w:w="2042" w:type="dxa"/>
            <w:tcBorders>
              <w:top w:val="single" w:sz="4" w:space="0" w:color="A3BBD5"/>
              <w:bottom w:val="nil"/>
            </w:tcBorders>
            <w:shd w:val="clear" w:color="000000" w:fill="E6F0FA"/>
            <w:hideMark/>
          </w:tcPr>
          <w:p w:rsidR="00F35CAF" w:rsidRPr="000A74F4"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F35CAF" w:rsidRPr="00E000CC" w:rsidRDefault="00F35CAF" w:rsidP="00F35CAF">
            <w:pPr>
              <w:pStyle w:val="IndicatorName"/>
              <w:framePr w:hSpace="0" w:wrap="auto" w:vAnchor="margin" w:hAnchor="text" w:yAlign="inline"/>
            </w:pPr>
            <w:bookmarkStart w:id="12" w:name="_Toc418774236"/>
            <w:r>
              <w:t>Malaria incidence rate</w:t>
            </w:r>
            <w:bookmarkEnd w:id="12"/>
          </w:p>
        </w:tc>
      </w:tr>
      <w:tr w:rsidR="00F35CAF" w:rsidRPr="00DE0966" w:rsidTr="00F35CAF">
        <w:trPr>
          <w:trHeight w:val="35"/>
        </w:trPr>
        <w:tc>
          <w:tcPr>
            <w:tcW w:w="2042" w:type="dxa"/>
            <w:tcBorders>
              <w:top w:val="nil"/>
              <w:bottom w:val="nil"/>
            </w:tcBorders>
            <w:shd w:val="clear" w:color="000000" w:fill="E6F0FA"/>
            <w:hideMark/>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Indicator name</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Malaria incidence rate</w:t>
            </w:r>
            <w:r>
              <w:t xml:space="preserve"> (per 1000 population)</w:t>
            </w:r>
          </w:p>
        </w:tc>
      </w:tr>
      <w:tr w:rsidR="00F35CAF" w:rsidRPr="00DE0966" w:rsidTr="00F35CAF">
        <w:trPr>
          <w:trHeight w:val="23"/>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Domain</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Health status</w:t>
            </w:r>
          </w:p>
        </w:tc>
      </w:tr>
      <w:tr w:rsidR="00F35CAF" w:rsidRPr="00DE0966" w:rsidTr="00F35CAF">
        <w:trPr>
          <w:trHeight w:val="23"/>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F35CAF" w:rsidRPr="00E000CC" w:rsidRDefault="00F35CAF" w:rsidP="00F35CAF">
            <w:pPr>
              <w:pStyle w:val="IndicatorText"/>
              <w:framePr w:hSpace="0" w:wrap="auto" w:vAnchor="margin" w:hAnchor="text" w:yAlign="inline"/>
            </w:pPr>
            <w:r>
              <w:t>Infectious disease</w:t>
            </w:r>
          </w:p>
        </w:tc>
      </w:tr>
      <w:tr w:rsidR="00F35CAF" w:rsidRPr="00DE0966" w:rsidTr="00F35CAF">
        <w:trPr>
          <w:trHeight w:val="23"/>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Associated terms</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Morbidity</w:t>
            </w:r>
          </w:p>
        </w:tc>
      </w:tr>
      <w:tr w:rsidR="00F35CAF" w:rsidRPr="00DE0966" w:rsidTr="00F35CAF">
        <w:trPr>
          <w:trHeight w:val="23"/>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Definition</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Number of confirmed reported malaria cases per 1000 persons per year</w:t>
            </w:r>
            <w:r>
              <w:t>.</w:t>
            </w:r>
          </w:p>
        </w:tc>
      </w:tr>
      <w:tr w:rsidR="00F35CAF" w:rsidRPr="00DE0966" w:rsidTr="00F35CAF">
        <w:trPr>
          <w:trHeight w:val="23"/>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Numerator</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 xml:space="preserve">Number of suspected malaria cases confirmed by either microscopy or </w:t>
            </w:r>
            <w:r>
              <w:t>rapid diagnostic test.</w:t>
            </w:r>
          </w:p>
        </w:tc>
      </w:tr>
      <w:tr w:rsidR="00F35CAF" w:rsidRPr="00DE0966" w:rsidTr="00F35CAF">
        <w:trPr>
          <w:trHeight w:val="62"/>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Denominator</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Population at risk (number of people living in areas where malaria transmission occurs)</w:t>
            </w:r>
            <w:r>
              <w:t>.</w:t>
            </w:r>
          </w:p>
        </w:tc>
      </w:tr>
      <w:tr w:rsidR="00F35CAF" w:rsidRPr="00DE0966" w:rsidTr="00F35CAF">
        <w:trPr>
          <w:trHeight w:val="268"/>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Disaggregation/</w:t>
            </w:r>
            <w:r w:rsidRPr="000A74F4">
              <w:rPr>
                <w:rFonts w:eastAsia="Times New Roman" w:cstheme="minorHAnsi"/>
                <w:color w:val="003366"/>
                <w:sz w:val="16"/>
                <w:szCs w:val="16"/>
              </w:rPr>
              <w:br/>
              <w:t>additional dimension</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 xml:space="preserve">Age, </w:t>
            </w:r>
            <w:r>
              <w:t>p</w:t>
            </w:r>
            <w:r w:rsidRPr="00E000CC">
              <w:t xml:space="preserve">lace of residence, </w:t>
            </w:r>
            <w:r>
              <w:rPr>
                <w:szCs w:val="16"/>
              </w:rPr>
              <w:t>s</w:t>
            </w:r>
            <w:r w:rsidRPr="000A74F4">
              <w:rPr>
                <w:szCs w:val="16"/>
              </w:rPr>
              <w:t xml:space="preserve">eason </w:t>
            </w:r>
            <w:r w:rsidRPr="00E000CC">
              <w:t>(year and month)</w:t>
            </w:r>
          </w:p>
        </w:tc>
      </w:tr>
      <w:tr w:rsidR="00F35CAF" w:rsidRPr="00DE0966" w:rsidTr="00F35CAF">
        <w:trPr>
          <w:trHeight w:val="122"/>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Method of measurement</w:t>
            </w:r>
          </w:p>
        </w:tc>
        <w:tc>
          <w:tcPr>
            <w:tcW w:w="7654" w:type="dxa"/>
            <w:shd w:val="clear" w:color="auto" w:fill="auto"/>
          </w:tcPr>
          <w:p w:rsidR="00F35CAF" w:rsidRDefault="00F35CAF" w:rsidP="00F35CAF">
            <w:pPr>
              <w:pStyle w:val="IndicatorText"/>
              <w:framePr w:hSpace="0" w:wrap="auto" w:vAnchor="margin" w:hAnchor="text" w:yAlign="inline"/>
            </w:pPr>
            <w:r w:rsidRPr="00E000CC">
              <w:t>Confirmed by microscopy or rapid diagnostics test</w:t>
            </w:r>
            <w:r>
              <w:t>.</w:t>
            </w:r>
          </w:p>
          <w:p w:rsidR="00F35CAF" w:rsidRDefault="00F35CAF" w:rsidP="00F35CAF">
            <w:pPr>
              <w:pStyle w:val="IndicatorText"/>
              <w:framePr w:hSpace="0" w:wrap="auto" w:vAnchor="margin" w:hAnchor="text" w:yAlign="inline"/>
            </w:pPr>
            <w:r w:rsidRPr="00DA3E79">
              <w:rPr>
                <w:u w:val="single"/>
              </w:rPr>
              <w:t>Microscopy</w:t>
            </w:r>
            <w:r w:rsidRPr="00E000CC">
              <w:t>: The number of cases confirmed by microscopy</w:t>
            </w:r>
            <w:r>
              <w:t>, i</w:t>
            </w:r>
            <w:r w:rsidRPr="00E000CC">
              <w:t>nclud</w:t>
            </w:r>
            <w:r>
              <w:t>ing</w:t>
            </w:r>
            <w:r w:rsidRPr="00E000CC">
              <w:t xml:space="preserve"> both inpatients and outpatients of all ages. </w:t>
            </w:r>
            <w:r>
              <w:t>Also i</w:t>
            </w:r>
            <w:r w:rsidRPr="00E000CC">
              <w:t>ncludes cases detected</w:t>
            </w:r>
            <w:r>
              <w:t xml:space="preserve"> </w:t>
            </w:r>
            <w:r w:rsidRPr="00E000CC">
              <w:t>by both active and passive case detection</w:t>
            </w:r>
            <w:r>
              <w:t>, but e</w:t>
            </w:r>
            <w:r w:rsidRPr="00E000CC">
              <w:t xml:space="preserve">xcludes cases detected in </w:t>
            </w:r>
            <w:r>
              <w:t>the community.</w:t>
            </w:r>
          </w:p>
          <w:p w:rsidR="00F35CAF" w:rsidRPr="00E000CC" w:rsidRDefault="00F35CAF" w:rsidP="00F35CAF">
            <w:pPr>
              <w:pStyle w:val="IndicatorText"/>
              <w:framePr w:hSpace="0" w:wrap="auto" w:vAnchor="margin" w:hAnchor="text" w:yAlign="inline"/>
            </w:pPr>
            <w:r w:rsidRPr="00DA3E79">
              <w:rPr>
                <w:u w:val="single"/>
              </w:rPr>
              <w:t>Rapid diagnostic tests</w:t>
            </w:r>
            <w:r w:rsidRPr="00E000CC">
              <w:t xml:space="preserve">: The number of cases confirmed by </w:t>
            </w:r>
            <w:r>
              <w:t xml:space="preserve">rapid diagnostic tests, including </w:t>
            </w:r>
            <w:r w:rsidRPr="00E000CC">
              <w:t xml:space="preserve">both inpatients and outpatients of all ages. </w:t>
            </w:r>
            <w:r>
              <w:t>Also i</w:t>
            </w:r>
            <w:r w:rsidRPr="00E000CC">
              <w:t>ncludes cases detected by both active and passive case detection</w:t>
            </w:r>
            <w:r>
              <w:t>, but e</w:t>
            </w:r>
            <w:r w:rsidRPr="00E000CC">
              <w:t>xclude</w:t>
            </w:r>
            <w:r>
              <w:t>s</w:t>
            </w:r>
            <w:r w:rsidRPr="00E000CC">
              <w:t xml:space="preserve"> cases that are also confirmed by microscopy</w:t>
            </w:r>
            <w:r>
              <w:t xml:space="preserve"> or that are </w:t>
            </w:r>
            <w:r w:rsidRPr="00E000CC">
              <w:t>detected and confirmed by community</w:t>
            </w:r>
            <w:r>
              <w:t>-</w:t>
            </w:r>
            <w:r w:rsidRPr="00E000CC">
              <w:t>based program</w:t>
            </w:r>
            <w:r>
              <w:t>me</w:t>
            </w:r>
            <w:r w:rsidRPr="00E000CC">
              <w:t>s.</w:t>
            </w:r>
          </w:p>
        </w:tc>
      </w:tr>
      <w:tr w:rsidR="00F35CAF" w:rsidRPr="00DE0966" w:rsidTr="00F35CAF">
        <w:trPr>
          <w:trHeight w:val="160"/>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Method of estimation</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WHO compiles data on reported confirmed cases of malaria, submitted by the national malaria control programmes.</w:t>
            </w:r>
            <w:r>
              <w:t xml:space="preserve"> The d</w:t>
            </w:r>
            <w:r w:rsidRPr="00E000CC">
              <w:t>enominator is estimated, using risk mapping and population data.</w:t>
            </w:r>
          </w:p>
        </w:tc>
      </w:tr>
      <w:tr w:rsidR="00F35CAF" w:rsidRPr="00DE0966" w:rsidTr="00F35CAF">
        <w:trPr>
          <w:trHeight w:val="224"/>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Measurement frequency</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Annual</w:t>
            </w:r>
          </w:p>
        </w:tc>
      </w:tr>
      <w:tr w:rsidR="00F35CAF" w:rsidRPr="00DE0966" w:rsidTr="00F35CAF">
        <w:trPr>
          <w:trHeight w:val="159"/>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3634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0A74F4">
              <w:rPr>
                <w:rFonts w:eastAsia="Times New Roman" w:cstheme="minorHAnsi"/>
                <w:color w:val="003366"/>
                <w:sz w:val="16"/>
                <w:szCs w:val="16"/>
              </w:rPr>
              <w:t>framework</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Impact</w:t>
            </w:r>
          </w:p>
        </w:tc>
      </w:tr>
      <w:tr w:rsidR="00F35CAF" w:rsidRPr="00DE0966" w:rsidTr="00F35CAF">
        <w:trPr>
          <w:trHeight w:val="82"/>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sidRPr="000A74F4">
              <w:rPr>
                <w:rFonts w:eastAsia="Times New Roman" w:cstheme="minorHAnsi"/>
                <w:color w:val="003366"/>
                <w:sz w:val="16"/>
                <w:szCs w:val="16"/>
              </w:rPr>
              <w:t>Preferred data sources</w:t>
            </w:r>
          </w:p>
        </w:tc>
        <w:tc>
          <w:tcPr>
            <w:tcW w:w="7654" w:type="dxa"/>
            <w:shd w:val="clear" w:color="auto" w:fill="auto"/>
          </w:tcPr>
          <w:p w:rsidR="00F35CAF" w:rsidRPr="00E000CC" w:rsidRDefault="00F35CAF" w:rsidP="00F35CAF">
            <w:pPr>
              <w:pStyle w:val="IndicatorText"/>
              <w:framePr w:hSpace="0" w:wrap="auto" w:vAnchor="margin" w:hAnchor="text" w:yAlign="inline"/>
            </w:pPr>
            <w:r w:rsidRPr="00E000CC">
              <w:t>Surveillance systems</w:t>
            </w:r>
          </w:p>
        </w:tc>
      </w:tr>
      <w:tr w:rsidR="00F35CAF" w:rsidRPr="00DE0966" w:rsidTr="00F35CAF">
        <w:trPr>
          <w:trHeight w:val="402"/>
        </w:trPr>
        <w:tc>
          <w:tcPr>
            <w:tcW w:w="2042" w:type="dxa"/>
            <w:tcBorders>
              <w:top w:val="nil"/>
              <w:bottom w:val="nil"/>
            </w:tcBorders>
            <w:shd w:val="clear" w:color="000000" w:fill="E6F0FA"/>
          </w:tcPr>
          <w:p w:rsidR="00F35CAF" w:rsidRPr="000A74F4"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Other possible data sources</w:t>
            </w:r>
          </w:p>
        </w:tc>
        <w:tc>
          <w:tcPr>
            <w:tcW w:w="7654" w:type="dxa"/>
            <w:shd w:val="clear" w:color="auto" w:fill="auto"/>
          </w:tcPr>
          <w:p w:rsidR="00F35CAF" w:rsidRPr="00E000CC" w:rsidRDefault="00F35CAF" w:rsidP="00F35CAF">
            <w:pPr>
              <w:pStyle w:val="IndicatorText"/>
              <w:framePr w:hSpace="0" w:wrap="auto" w:vAnchor="margin" w:hAnchor="text" w:yAlign="inline"/>
            </w:pPr>
          </w:p>
        </w:tc>
      </w:tr>
      <w:tr w:rsidR="00F35CAF" w:rsidRPr="00DE0966" w:rsidTr="00F35CAF">
        <w:trPr>
          <w:trHeight w:val="2353"/>
        </w:trPr>
        <w:tc>
          <w:tcPr>
            <w:tcW w:w="2042" w:type="dxa"/>
            <w:tcBorders>
              <w:top w:val="nil"/>
              <w:bottom w:val="single" w:sz="4" w:space="0" w:color="A3BBD5"/>
            </w:tcBorders>
            <w:shd w:val="clear" w:color="000000" w:fill="E6F0FA"/>
          </w:tcPr>
          <w:p w:rsidR="00F35CAF" w:rsidRPr="000A74F4"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F35CAF" w:rsidRPr="00E000CC" w:rsidRDefault="00F35CAF" w:rsidP="00F35CAF">
            <w:pPr>
              <w:pStyle w:val="IndicatorText"/>
              <w:framePr w:hSpace="0" w:wrap="auto" w:vAnchor="margin" w:hAnchor="text" w:yAlign="inline"/>
            </w:pPr>
            <w:r w:rsidRPr="002F6926">
              <w:rPr>
                <w:lang w:val="en-US"/>
              </w:rPr>
              <w:t>Household Survey Indicators for Malaria Control. Measure Evaluation/Measure DHS/President’s Malaria Initiative/Roll Back Malaria Partnership/UNICEF/WHO. 2013</w:t>
            </w:r>
            <w:r>
              <w:rPr>
                <w:lang w:val="en-US"/>
              </w:rPr>
              <w:t xml:space="preserve"> </w:t>
            </w:r>
            <w:r w:rsidRPr="002F6926">
              <w:rPr>
                <w:lang w:val="en-US"/>
              </w:rPr>
              <w:t>(http://www.malariasurveys.org/documents/Household%20Survey%20Indicators%20for%20Malaria%20Control.pdf, accessed 15 April 2015.</w:t>
            </w:r>
          </w:p>
          <w:p w:rsidR="00F35CAF" w:rsidRPr="00E000CC" w:rsidRDefault="00F35CAF" w:rsidP="00F35CAF">
            <w:pPr>
              <w:pStyle w:val="IndicatorText"/>
              <w:framePr w:hSpace="0" w:wrap="auto" w:vAnchor="margin" w:hAnchor="text" w:yAlign="inline"/>
            </w:pPr>
            <w:r w:rsidRPr="00947411">
              <w:rPr>
                <w:lang w:val="en-US"/>
              </w:rPr>
              <w:t>Indicators for monitoring the Millennium Development Goals: definitions, rationale, concepts and sources. New York (NY): United Nations; 2012 (</w:t>
            </w:r>
            <w:r w:rsidRPr="0056160E">
              <w:rPr>
                <w:lang w:val="en-US"/>
              </w:rPr>
              <w:t>http://mdgs.un.org/unsd/mi/wiki/MainPage.ashx</w:t>
            </w:r>
            <w:r w:rsidRPr="00947411">
              <w:rPr>
                <w:lang w:val="en-US"/>
              </w:rPr>
              <w:t>, accessed 29 March 2015).</w:t>
            </w:r>
          </w:p>
          <w:p w:rsidR="00F35CAF" w:rsidRPr="00E000CC" w:rsidRDefault="00F35CAF" w:rsidP="00F35CAF">
            <w:pPr>
              <w:pStyle w:val="IndicatorText"/>
              <w:framePr w:hSpace="0" w:wrap="auto" w:vAnchor="margin" w:hAnchor="text" w:yAlign="inline"/>
            </w:pPr>
            <w:r w:rsidRPr="00C130AD">
              <w:rPr>
                <w:lang w:val="en-US"/>
              </w:rPr>
              <w:t>Roll Back Malaria Partnership/WHO. Disease surveillance for malaria control: an operations manual. Geneva: World Health Organization; 2012 (</w:t>
            </w:r>
            <w:r w:rsidRPr="0056160E">
              <w:rPr>
                <w:lang w:val="en-US"/>
              </w:rPr>
              <w:t>http://www.who.int/malaria/publications/atoz/9789241503341/en/</w:t>
            </w:r>
            <w:r w:rsidRPr="00C130AD">
              <w:rPr>
                <w:lang w:val="en-US"/>
              </w:rPr>
              <w:t>, accessed 29 March 2015).</w:t>
            </w:r>
          </w:p>
          <w:p w:rsidR="00F35CAF" w:rsidRPr="00E000CC" w:rsidRDefault="00F35CAF" w:rsidP="00F35CAF">
            <w:pPr>
              <w:pStyle w:val="IndicatorText"/>
              <w:framePr w:hSpace="0" w:wrap="auto" w:vAnchor="margin" w:hAnchor="text" w:yAlign="inline"/>
            </w:pPr>
            <w:r w:rsidRPr="003E4796">
              <w:rPr>
                <w:lang w:val="en-US"/>
              </w:rPr>
              <w:t>World Health Assembly governing body documentation: official records. Geneva: World Health Organization (</w:t>
            </w:r>
            <w:r w:rsidRPr="0056160E">
              <w:rPr>
                <w:lang w:val="en-US"/>
              </w:rPr>
              <w:t>http://apps.who.int/gb/or/</w:t>
            </w:r>
            <w:r w:rsidRPr="003E4796">
              <w:rPr>
                <w:lang w:val="en-US"/>
              </w:rPr>
              <w:t>, accessed 29 March 2015).</w:t>
            </w:r>
          </w:p>
          <w:p w:rsidR="00F35CAF" w:rsidRPr="00E000CC" w:rsidRDefault="00F35CAF" w:rsidP="00F35CAF">
            <w:pPr>
              <w:pStyle w:val="IndicatorText"/>
              <w:framePr w:hSpace="0" w:wrap="auto" w:vAnchor="margin" w:hAnchor="text" w:yAlign="inline"/>
            </w:pPr>
            <w:r w:rsidRPr="009A1C11">
              <w:rPr>
                <w:lang w:val="en-US"/>
              </w:rPr>
              <w:t>World health statistics 2014. Geneva: World Health Organization; 2014 (</w:t>
            </w:r>
            <w:r w:rsidRPr="0056160E">
              <w:rPr>
                <w:lang w:val="en-US"/>
              </w:rPr>
              <w:t>http://apps.who.int/iris/bitstream/10665/112738/1/9789240692671_eng.pdf?ua=1</w:t>
            </w:r>
            <w:r w:rsidRPr="009A1C11">
              <w:rPr>
                <w:lang w:val="en-US"/>
              </w:rPr>
              <w:t>, accessed 29 March 2015).</w:t>
            </w:r>
          </w:p>
        </w:tc>
      </w:tr>
    </w:tbl>
    <w:p w:rsidR="00F35CAF" w:rsidRDefault="00F35CAF" w:rsidP="00F35CAF"/>
    <w:p w:rsidR="00F35CAF" w:rsidRDefault="00F35CAF" w:rsidP="00F35CAF">
      <w:r>
        <w:br w:type="page"/>
      </w:r>
    </w:p>
    <w:p w:rsidR="0099691F" w:rsidRPr="00277801" w:rsidRDefault="0099691F" w:rsidP="0099691F">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3</w:t>
      </w:r>
      <w:r w:rsidRPr="00277801">
        <w:rPr>
          <w:color w:val="FFFFFF" w:themeColor="background1"/>
        </w:rPr>
        <w:t xml:space="preserve">: </w:t>
      </w:r>
      <w:r>
        <w:rPr>
          <w:color w:val="FFFFFF" w:themeColor="background1"/>
        </w:rPr>
        <w:tab/>
      </w:r>
      <w:r w:rsidRPr="00277801">
        <w:rPr>
          <w:color w:val="FFFFFF" w:themeColor="background1"/>
        </w:rPr>
        <w:t>By 2030, end the epidemics of AIDS, tuberculosis, malaria and neglected tropical diseases and combat</w:t>
      </w:r>
      <w:r>
        <w:rPr>
          <w:color w:val="FFFFFF" w:themeColor="background1"/>
        </w:rPr>
        <w:br/>
        <w:t>h</w:t>
      </w:r>
      <w:r w:rsidRPr="00277801">
        <w:rPr>
          <w:color w:val="FFFFFF" w:themeColor="background1"/>
        </w:rPr>
        <w:t>epatitis, water-borne diseases and other communicable disease</w:t>
      </w:r>
    </w:p>
    <w:p w:rsidR="00F35CAF" w:rsidRDefault="00F35CAF" w:rsidP="0099691F">
      <w:pPr>
        <w:pStyle w:val="Tablesub-heading"/>
      </w:pPr>
      <w:r>
        <w:t>Indicator 3.3.6</w:t>
      </w:r>
      <w:r w:rsidR="0099691F">
        <w:t>:</w:t>
      </w:r>
      <w:r w:rsidR="0099691F">
        <w:tab/>
      </w:r>
      <w:r w:rsidRPr="00F35CAF">
        <w:t>Malaria deaths per 100,000 population</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99691F" w:rsidRPr="00DE0966" w:rsidTr="0099691F">
        <w:trPr>
          <w:trHeight w:val="117"/>
        </w:trPr>
        <w:tc>
          <w:tcPr>
            <w:tcW w:w="2042" w:type="dxa"/>
            <w:tcBorders>
              <w:top w:val="single" w:sz="4" w:space="0" w:color="A3BBD5"/>
              <w:bottom w:val="nil"/>
            </w:tcBorders>
            <w:shd w:val="clear" w:color="000000" w:fill="E6F0FA"/>
            <w:hideMark/>
          </w:tcPr>
          <w:p w:rsidR="0099691F" w:rsidRPr="00E500E5" w:rsidRDefault="0099691F" w:rsidP="0099691F">
            <w:pPr>
              <w:spacing w:after="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99691F" w:rsidRPr="00E500E5" w:rsidRDefault="0099691F" w:rsidP="0099691F">
            <w:pPr>
              <w:pStyle w:val="IndicatorName"/>
              <w:framePr w:hSpace="0" w:wrap="auto" w:vAnchor="margin" w:hAnchor="text" w:yAlign="inline"/>
              <w:spacing w:beforeLines="0" w:before="0" w:after="0"/>
            </w:pPr>
            <w:bookmarkStart w:id="13" w:name="_Toc418774221"/>
            <w:r w:rsidRPr="006160B7">
              <w:t>Malaria mortality rate</w:t>
            </w:r>
            <w:bookmarkEnd w:id="13"/>
          </w:p>
        </w:tc>
      </w:tr>
      <w:tr w:rsidR="0099691F" w:rsidRPr="00DE0966" w:rsidTr="0099691F">
        <w:trPr>
          <w:trHeight w:val="35"/>
        </w:trPr>
        <w:tc>
          <w:tcPr>
            <w:tcW w:w="2042" w:type="dxa"/>
            <w:tcBorders>
              <w:top w:val="nil"/>
              <w:bottom w:val="nil"/>
            </w:tcBorders>
            <w:shd w:val="clear" w:color="000000" w:fill="E6F0FA"/>
            <w:hideMark/>
          </w:tcPr>
          <w:p w:rsidR="0099691F" w:rsidRPr="00E500E5" w:rsidRDefault="0099691F" w:rsidP="0099691F">
            <w:pPr>
              <w:spacing w:after="0"/>
              <w:rPr>
                <w:rFonts w:eastAsia="Times New Roman" w:cstheme="minorHAnsi"/>
                <w:color w:val="003366"/>
                <w:sz w:val="16"/>
                <w:szCs w:val="16"/>
              </w:rPr>
            </w:pPr>
            <w:r w:rsidRPr="00E500E5">
              <w:rPr>
                <w:rFonts w:eastAsia="Times New Roman" w:cstheme="minorHAnsi"/>
                <w:color w:val="003366"/>
                <w:sz w:val="16"/>
                <w:szCs w:val="16"/>
              </w:rPr>
              <w:t>Indicator name</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Malaria mortality rate (per 100 000 population)</w:t>
            </w:r>
          </w:p>
        </w:tc>
      </w:tr>
      <w:tr w:rsidR="0099691F" w:rsidRPr="00DE0966" w:rsidTr="0099691F">
        <w:trPr>
          <w:trHeight w:val="23"/>
        </w:trPr>
        <w:tc>
          <w:tcPr>
            <w:tcW w:w="2042" w:type="dxa"/>
            <w:tcBorders>
              <w:top w:val="nil"/>
              <w:bottom w:val="nil"/>
            </w:tcBorders>
            <w:shd w:val="clear" w:color="000000" w:fill="E6F0FA"/>
          </w:tcPr>
          <w:p w:rsidR="0099691F" w:rsidRPr="00E500E5" w:rsidRDefault="0099691F" w:rsidP="0099691F">
            <w:pPr>
              <w:spacing w:after="0"/>
              <w:rPr>
                <w:rFonts w:eastAsia="Times New Roman" w:cstheme="minorHAnsi"/>
                <w:color w:val="003366"/>
                <w:sz w:val="16"/>
                <w:szCs w:val="16"/>
              </w:rPr>
            </w:pPr>
            <w:r w:rsidRPr="00E500E5">
              <w:rPr>
                <w:rFonts w:eastAsia="Times New Roman" w:cstheme="minorHAnsi"/>
                <w:color w:val="003366"/>
                <w:sz w:val="16"/>
                <w:szCs w:val="16"/>
              </w:rPr>
              <w:t>Domain</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Health status</w:t>
            </w:r>
          </w:p>
        </w:tc>
      </w:tr>
      <w:tr w:rsidR="0099691F" w:rsidRPr="00DE0966" w:rsidTr="0099691F">
        <w:trPr>
          <w:trHeight w:val="23"/>
        </w:trPr>
        <w:tc>
          <w:tcPr>
            <w:tcW w:w="2042" w:type="dxa"/>
            <w:tcBorders>
              <w:top w:val="nil"/>
              <w:bottom w:val="nil"/>
            </w:tcBorders>
            <w:shd w:val="clear" w:color="000000" w:fill="E6F0FA"/>
          </w:tcPr>
          <w:p w:rsidR="0099691F" w:rsidRPr="00E500E5" w:rsidRDefault="0099691F" w:rsidP="0099691F">
            <w:pPr>
              <w:spacing w:after="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Infectious disease</w:t>
            </w:r>
          </w:p>
        </w:tc>
      </w:tr>
      <w:tr w:rsidR="0099691F" w:rsidRPr="00DE0966" w:rsidTr="0099691F">
        <w:trPr>
          <w:trHeight w:val="23"/>
        </w:trPr>
        <w:tc>
          <w:tcPr>
            <w:tcW w:w="2042" w:type="dxa"/>
            <w:tcBorders>
              <w:top w:val="nil"/>
              <w:bottom w:val="nil"/>
            </w:tcBorders>
            <w:shd w:val="clear" w:color="000000" w:fill="E6F0FA"/>
          </w:tcPr>
          <w:p w:rsidR="0099691F" w:rsidRPr="00E500E5" w:rsidRDefault="0099691F" w:rsidP="0099691F">
            <w:pPr>
              <w:spacing w:after="0"/>
              <w:rPr>
                <w:rFonts w:eastAsia="Times New Roman" w:cstheme="minorHAnsi"/>
                <w:color w:val="003366"/>
                <w:sz w:val="16"/>
                <w:szCs w:val="16"/>
              </w:rPr>
            </w:pPr>
            <w:r w:rsidRPr="00E500E5">
              <w:rPr>
                <w:rFonts w:eastAsia="Times New Roman" w:cstheme="minorHAnsi"/>
                <w:color w:val="003366"/>
                <w:sz w:val="16"/>
                <w:szCs w:val="16"/>
              </w:rPr>
              <w:t>Associated terms</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Mortality by cause</w:t>
            </w:r>
          </w:p>
        </w:tc>
      </w:tr>
      <w:tr w:rsidR="0099691F" w:rsidRPr="00DE0966" w:rsidTr="0099691F">
        <w:trPr>
          <w:trHeight w:val="23"/>
        </w:trPr>
        <w:tc>
          <w:tcPr>
            <w:tcW w:w="2042" w:type="dxa"/>
            <w:tcBorders>
              <w:top w:val="nil"/>
              <w:bottom w:val="nil"/>
            </w:tcBorders>
            <w:shd w:val="clear" w:color="000000" w:fill="E6F0FA"/>
          </w:tcPr>
          <w:p w:rsidR="0099691F" w:rsidRPr="009E35C3" w:rsidRDefault="0099691F" w:rsidP="0099691F">
            <w:pPr>
              <w:spacing w:after="0"/>
              <w:rPr>
                <w:rFonts w:eastAsia="Times New Roman" w:cstheme="minorHAnsi"/>
                <w:color w:val="003366"/>
                <w:sz w:val="16"/>
                <w:szCs w:val="16"/>
              </w:rPr>
            </w:pPr>
            <w:r w:rsidRPr="009E35C3">
              <w:rPr>
                <w:rFonts w:eastAsia="Times New Roman" w:cstheme="minorHAnsi"/>
                <w:color w:val="003366"/>
                <w:sz w:val="16"/>
                <w:szCs w:val="16"/>
              </w:rPr>
              <w:t>Definition</w:t>
            </w:r>
          </w:p>
          <w:p w:rsidR="0099691F" w:rsidRPr="009E35C3" w:rsidRDefault="0099691F" w:rsidP="0099691F">
            <w:pPr>
              <w:spacing w:after="0"/>
              <w:rPr>
                <w:rFonts w:eastAsia="Times New Roman" w:cstheme="minorHAnsi"/>
                <w:color w:val="003366"/>
                <w:sz w:val="16"/>
                <w:szCs w:val="16"/>
              </w:rPr>
            </w:pP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rFonts w:eastAsia="Times New Roman"/>
                <w:color w:val="auto"/>
                <w:sz w:val="15"/>
                <w:szCs w:val="15"/>
              </w:rPr>
              <w:t xml:space="preserve">Number of adults and children who have died due to malaria in a specific year, </w:t>
            </w:r>
            <w:r w:rsidRPr="00BB7254">
              <w:rPr>
                <w:color w:val="auto"/>
                <w:sz w:val="15"/>
                <w:szCs w:val="15"/>
              </w:rPr>
              <w:t>expressed as a rate per 100 000 population</w:t>
            </w:r>
            <w:r w:rsidRPr="00BB7254">
              <w:rPr>
                <w:color w:val="1F497D" w:themeColor="text2"/>
                <w:sz w:val="15"/>
                <w:szCs w:val="15"/>
              </w:rPr>
              <w:t>.</w:t>
            </w:r>
          </w:p>
        </w:tc>
      </w:tr>
      <w:tr w:rsidR="0099691F" w:rsidRPr="00DE0966" w:rsidTr="0099691F">
        <w:trPr>
          <w:trHeight w:val="23"/>
        </w:trPr>
        <w:tc>
          <w:tcPr>
            <w:tcW w:w="2042" w:type="dxa"/>
            <w:tcBorders>
              <w:top w:val="nil"/>
              <w:bottom w:val="nil"/>
            </w:tcBorders>
            <w:shd w:val="clear" w:color="000000" w:fill="E6F0FA"/>
          </w:tcPr>
          <w:p w:rsidR="0099691F" w:rsidRPr="009E35C3" w:rsidRDefault="0099691F" w:rsidP="0099691F">
            <w:pPr>
              <w:spacing w:after="0"/>
              <w:rPr>
                <w:rFonts w:eastAsia="Times New Roman" w:cstheme="minorHAnsi"/>
                <w:color w:val="003366"/>
                <w:sz w:val="16"/>
                <w:szCs w:val="16"/>
              </w:rPr>
            </w:pPr>
            <w:r w:rsidRPr="009E35C3">
              <w:rPr>
                <w:rFonts w:eastAsia="Times New Roman" w:cstheme="minorHAnsi"/>
                <w:color w:val="003366"/>
                <w:sz w:val="16"/>
                <w:szCs w:val="16"/>
              </w:rPr>
              <w:t>Numerator</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Number of deaths due to malaria.</w:t>
            </w:r>
          </w:p>
        </w:tc>
      </w:tr>
      <w:tr w:rsidR="0099691F" w:rsidRPr="00DE0966" w:rsidTr="0099691F">
        <w:trPr>
          <w:trHeight w:val="62"/>
        </w:trPr>
        <w:tc>
          <w:tcPr>
            <w:tcW w:w="2042" w:type="dxa"/>
            <w:tcBorders>
              <w:top w:val="nil"/>
              <w:bottom w:val="nil"/>
            </w:tcBorders>
            <w:shd w:val="clear" w:color="000000" w:fill="E6F0FA"/>
          </w:tcPr>
          <w:p w:rsidR="0099691F" w:rsidRPr="009E35C3" w:rsidRDefault="0099691F" w:rsidP="0099691F">
            <w:pPr>
              <w:spacing w:after="0"/>
              <w:rPr>
                <w:rFonts w:eastAsia="Times New Roman" w:cstheme="minorHAnsi"/>
                <w:color w:val="003366"/>
                <w:sz w:val="16"/>
                <w:szCs w:val="16"/>
              </w:rPr>
            </w:pPr>
            <w:r w:rsidRPr="009E35C3">
              <w:rPr>
                <w:rFonts w:eastAsia="Times New Roman" w:cstheme="minorHAnsi"/>
                <w:color w:val="003366"/>
                <w:sz w:val="16"/>
                <w:szCs w:val="16"/>
              </w:rPr>
              <w:t>Denominator</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Number of years of exposure.</w:t>
            </w:r>
          </w:p>
        </w:tc>
      </w:tr>
      <w:tr w:rsidR="0099691F" w:rsidRPr="00DE0966" w:rsidTr="0099691F">
        <w:trPr>
          <w:trHeight w:val="268"/>
        </w:trPr>
        <w:tc>
          <w:tcPr>
            <w:tcW w:w="2042" w:type="dxa"/>
            <w:tcBorders>
              <w:top w:val="nil"/>
              <w:bottom w:val="nil"/>
            </w:tcBorders>
            <w:shd w:val="clear" w:color="000000" w:fill="E6F0FA"/>
          </w:tcPr>
          <w:p w:rsidR="0099691F" w:rsidRPr="009E35C3" w:rsidRDefault="0099691F" w:rsidP="0099691F">
            <w:pPr>
              <w:spacing w:after="0"/>
              <w:rPr>
                <w:rFonts w:eastAsia="Times New Roman" w:cstheme="minorHAnsi"/>
                <w:color w:val="003366"/>
                <w:sz w:val="16"/>
                <w:szCs w:val="16"/>
              </w:rPr>
            </w:pPr>
            <w:r w:rsidRPr="009E35C3">
              <w:rPr>
                <w:rFonts w:eastAsia="Times New Roman" w:cstheme="minorHAnsi"/>
                <w:color w:val="003366"/>
                <w:sz w:val="16"/>
                <w:szCs w:val="16"/>
              </w:rPr>
              <w:t>Disaggregation/</w:t>
            </w:r>
            <w:r w:rsidRPr="009E35C3">
              <w:rPr>
                <w:rFonts w:eastAsia="Times New Roman" w:cstheme="minorHAnsi"/>
                <w:color w:val="003366"/>
                <w:sz w:val="16"/>
                <w:szCs w:val="16"/>
              </w:rPr>
              <w:br/>
              <w:t>additional dimension</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rFonts w:ascii="Calibri" w:eastAsia="Times New Roman" w:hAnsi="Calibri" w:cs="Calibri"/>
                <w:sz w:val="15"/>
                <w:szCs w:val="15"/>
              </w:rPr>
              <w:t>Age, place of residence, sex, socioeconomic status</w:t>
            </w:r>
          </w:p>
        </w:tc>
      </w:tr>
      <w:tr w:rsidR="0099691F" w:rsidRPr="00DE0966" w:rsidTr="0099691F">
        <w:trPr>
          <w:trHeight w:val="122"/>
        </w:trPr>
        <w:tc>
          <w:tcPr>
            <w:tcW w:w="2042" w:type="dxa"/>
            <w:tcBorders>
              <w:top w:val="nil"/>
              <w:bottom w:val="nil"/>
            </w:tcBorders>
            <w:shd w:val="clear" w:color="000000" w:fill="E6F0FA"/>
          </w:tcPr>
          <w:p w:rsidR="0099691F" w:rsidRPr="00E500E5" w:rsidRDefault="0099691F" w:rsidP="0099691F">
            <w:pPr>
              <w:spacing w:after="0"/>
              <w:rPr>
                <w:rFonts w:eastAsia="Times New Roman" w:cstheme="minorHAnsi"/>
                <w:color w:val="003366"/>
                <w:sz w:val="16"/>
                <w:szCs w:val="16"/>
              </w:rPr>
            </w:pPr>
            <w:r w:rsidRPr="00E500E5">
              <w:rPr>
                <w:rFonts w:eastAsia="Times New Roman" w:cstheme="minorHAnsi"/>
                <w:color w:val="003366"/>
                <w:sz w:val="16"/>
                <w:szCs w:val="16"/>
              </w:rPr>
              <w:t>Method of measurement</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Death registration data using ICD-10; verbal autopsy-based results are also used.</w:t>
            </w:r>
          </w:p>
        </w:tc>
      </w:tr>
      <w:tr w:rsidR="0099691F" w:rsidRPr="00DE0966" w:rsidTr="0099691F">
        <w:trPr>
          <w:trHeight w:val="160"/>
        </w:trPr>
        <w:tc>
          <w:tcPr>
            <w:tcW w:w="2042" w:type="dxa"/>
            <w:tcBorders>
              <w:top w:val="nil"/>
              <w:bottom w:val="nil"/>
            </w:tcBorders>
            <w:shd w:val="clear" w:color="000000" w:fill="E6F0FA"/>
          </w:tcPr>
          <w:p w:rsidR="0099691F" w:rsidRPr="00E500E5" w:rsidRDefault="0099691F" w:rsidP="00F35CAF">
            <w:pPr>
              <w:spacing w:before="60" w:after="40"/>
              <w:rPr>
                <w:rFonts w:eastAsia="Times New Roman" w:cstheme="minorHAnsi"/>
                <w:color w:val="003366"/>
                <w:sz w:val="16"/>
                <w:szCs w:val="16"/>
              </w:rPr>
            </w:pPr>
            <w:r w:rsidRPr="00E500E5">
              <w:rPr>
                <w:rFonts w:eastAsia="Times New Roman" w:cstheme="minorHAnsi"/>
                <w:color w:val="003366"/>
                <w:sz w:val="16"/>
                <w:szCs w:val="16"/>
              </w:rPr>
              <w:t>Method of estimation</w:t>
            </w:r>
          </w:p>
        </w:tc>
        <w:tc>
          <w:tcPr>
            <w:tcW w:w="7654" w:type="dxa"/>
            <w:shd w:val="clear" w:color="auto" w:fill="auto"/>
          </w:tcPr>
          <w:p w:rsidR="0099691F" w:rsidRPr="00BB7254" w:rsidRDefault="0099691F" w:rsidP="00F35CAF">
            <w:pPr>
              <w:pStyle w:val="IndicatorText"/>
              <w:framePr w:hSpace="0" w:wrap="auto" w:vAnchor="margin" w:hAnchor="text" w:yAlign="inline"/>
              <w:spacing w:before="60" w:after="40"/>
              <w:rPr>
                <w:sz w:val="15"/>
                <w:szCs w:val="15"/>
              </w:rPr>
            </w:pPr>
            <w:r w:rsidRPr="00BB7254">
              <w:rPr>
                <w:sz w:val="15"/>
                <w:szCs w:val="15"/>
              </w:rPr>
              <w:t xml:space="preserve">Modelling, using multiple inputs, is often used to obtain a malaria mortality estimate. </w:t>
            </w:r>
          </w:p>
          <w:p w:rsidR="0099691F" w:rsidRPr="00BB7254" w:rsidRDefault="0099691F" w:rsidP="00F35CAF">
            <w:pPr>
              <w:pStyle w:val="IndicatorText"/>
              <w:framePr w:hSpace="0" w:wrap="auto" w:vAnchor="margin" w:hAnchor="text" w:yAlign="inline"/>
              <w:spacing w:before="60" w:after="40"/>
              <w:rPr>
                <w:sz w:val="15"/>
                <w:szCs w:val="15"/>
              </w:rPr>
            </w:pPr>
            <w:r w:rsidRPr="00BB7254">
              <w:rPr>
                <w:sz w:val="15"/>
                <w:szCs w:val="15"/>
              </w:rPr>
              <w:t xml:space="preserve">WHO compiles information supplied by ministries of health (i.e. the agencies responsible for malaria surveillance in endemic countries). The procedures for adjusting data to allow for international comparability are as follows: The number of malaria deaths is derived by one of two methods: </w:t>
            </w:r>
          </w:p>
          <w:p w:rsidR="0099691F" w:rsidRPr="00BB7254" w:rsidRDefault="0099691F" w:rsidP="00F35CAF">
            <w:pPr>
              <w:pStyle w:val="IndicatorText"/>
              <w:framePr w:hSpace="0" w:wrap="auto" w:vAnchor="margin" w:hAnchor="text" w:yAlign="inline"/>
              <w:spacing w:before="60" w:after="40"/>
              <w:ind w:left="720"/>
              <w:rPr>
                <w:sz w:val="15"/>
                <w:szCs w:val="15"/>
              </w:rPr>
            </w:pPr>
            <w:r w:rsidRPr="00BB7254">
              <w:rPr>
                <w:sz w:val="15"/>
                <w:szCs w:val="15"/>
              </w:rPr>
              <w:t xml:space="preserve">(i) by multiplying the estimated number of </w:t>
            </w:r>
            <w:r w:rsidRPr="00BB7254">
              <w:rPr>
                <w:i/>
                <w:sz w:val="15"/>
                <w:szCs w:val="15"/>
              </w:rPr>
              <w:t>P. falciparum</w:t>
            </w:r>
            <w:r w:rsidRPr="00BB7254">
              <w:rPr>
                <w:sz w:val="15"/>
                <w:szCs w:val="15"/>
              </w:rPr>
              <w:t xml:space="preserve"> malaria cases in a country by a fixed case-fatality rate. This method is used for all countries outside the WHO African Region and for countries in the African Region where estimates of case incidence are derived from routine reporting systems and where malaria accounts for less than 5% of all deaths in children under 5 years, as described in the Global Burden of Disease Incremental Revision for 2004. A case fatality rate of 0.45% is applied to the estimated number of </w:t>
            </w:r>
            <w:r w:rsidRPr="00BB7254">
              <w:rPr>
                <w:i/>
                <w:sz w:val="15"/>
                <w:szCs w:val="15"/>
              </w:rPr>
              <w:t>P. falciparum</w:t>
            </w:r>
            <w:r w:rsidRPr="00BB7254">
              <w:rPr>
                <w:sz w:val="15"/>
                <w:szCs w:val="15"/>
              </w:rPr>
              <w:t xml:space="preserve"> cases for countries in the African Region and a case fatality rate of 0.3% for </w:t>
            </w:r>
            <w:r w:rsidRPr="00BB7254">
              <w:rPr>
                <w:i/>
                <w:sz w:val="15"/>
                <w:szCs w:val="15"/>
              </w:rPr>
              <w:t>P. falciparum</w:t>
            </w:r>
            <w:r w:rsidRPr="00BB7254">
              <w:rPr>
                <w:sz w:val="15"/>
                <w:szCs w:val="15"/>
              </w:rPr>
              <w:t xml:space="preserve"> cases in other regions. (In situations where the fraction of all deaths due to malaria is small, the use of a case fatality rate in conjunction with estimates of case incidence is considered to provide a better guide to the levels of malaria mortality than attempts to estimate the fraction of deaths due to malaria.) </w:t>
            </w:r>
          </w:p>
          <w:p w:rsidR="0099691F" w:rsidRPr="00BB7254" w:rsidRDefault="0099691F" w:rsidP="00F35CAF">
            <w:pPr>
              <w:pStyle w:val="IndicatorText"/>
              <w:framePr w:hSpace="0" w:wrap="auto" w:vAnchor="margin" w:hAnchor="text" w:yAlign="inline"/>
              <w:spacing w:before="60" w:after="40"/>
              <w:ind w:left="720"/>
              <w:rPr>
                <w:sz w:val="15"/>
                <w:szCs w:val="15"/>
              </w:rPr>
            </w:pPr>
            <w:r w:rsidRPr="00BB7254">
              <w:rPr>
                <w:sz w:val="15"/>
                <w:szCs w:val="15"/>
              </w:rPr>
              <w:t>(ii) For countries in the African Region where malaria comprises 5% or more of all deaths in children under 5 years, the number of deaths is derived from an estimate of the number of people living at high, low or no risk of malaria. Malaria death rates for these populations are inferred from longitudinal studies of malaria deaths, as recorded in the published literature.</w:t>
            </w:r>
          </w:p>
          <w:p w:rsidR="0099691F" w:rsidRPr="00BB7254" w:rsidRDefault="0099691F" w:rsidP="00F35CAF">
            <w:pPr>
              <w:pStyle w:val="IndicatorText"/>
              <w:framePr w:hSpace="0" w:wrap="auto" w:vAnchor="margin" w:hAnchor="text" w:yAlign="inline"/>
              <w:spacing w:before="60" w:after="40"/>
              <w:rPr>
                <w:sz w:val="15"/>
                <w:szCs w:val="15"/>
              </w:rPr>
            </w:pPr>
            <w:r w:rsidRPr="00BB7254">
              <w:rPr>
                <w:sz w:val="15"/>
                <w:szCs w:val="15"/>
              </w:rPr>
              <w:t xml:space="preserve">The malaria death rate is expressed as the number of deaths due to malaria per 100 000 population per year with the population of a country derived from projections made by the United Nations Population Division. </w:t>
            </w:r>
          </w:p>
          <w:p w:rsidR="0099691F" w:rsidRPr="00BB7254" w:rsidRDefault="0099691F" w:rsidP="00F35CAF">
            <w:pPr>
              <w:pStyle w:val="IndicatorText"/>
              <w:framePr w:hSpace="0" w:wrap="auto" w:vAnchor="margin" w:hAnchor="text" w:yAlign="inline"/>
              <w:spacing w:before="60" w:after="40"/>
              <w:rPr>
                <w:sz w:val="15"/>
                <w:szCs w:val="15"/>
              </w:rPr>
            </w:pPr>
            <w:r w:rsidRPr="00BB7254">
              <w:rPr>
                <w:sz w:val="15"/>
                <w:szCs w:val="15"/>
              </w:rPr>
              <w:t>The adjustment procedures described above aim to take into account underreporting of cases if patients do not use public sector facilities or if there are gaps in public sector reporting systems. For countries that do not undertake laboratory confirmation of cases, the adjustments also aim to correct for over-diagnosis of malaria. Where data from surveillance systems are not available, or are considered to be of insufficient quality, incidence is derived from estimated levels of malaria risk and will chiefly be from sources other than locally-available estimates.</w:t>
            </w:r>
          </w:p>
          <w:p w:rsidR="0099691F" w:rsidRPr="00BB7254" w:rsidRDefault="0099691F" w:rsidP="00F35CAF">
            <w:pPr>
              <w:pStyle w:val="IndicatorText"/>
              <w:framePr w:hSpace="0" w:wrap="auto" w:vAnchor="margin" w:hAnchor="text" w:yAlign="inline"/>
              <w:spacing w:before="60" w:after="40"/>
              <w:rPr>
                <w:sz w:val="15"/>
                <w:szCs w:val="15"/>
              </w:rPr>
            </w:pPr>
            <w:r w:rsidRPr="00BB7254">
              <w:rPr>
                <w:sz w:val="15"/>
                <w:szCs w:val="15"/>
              </w:rPr>
              <w:t>Predominant type of statistics: predicted.</w:t>
            </w:r>
          </w:p>
          <w:p w:rsidR="0099691F" w:rsidRPr="00BB7254" w:rsidRDefault="0099691F" w:rsidP="00F35CAF">
            <w:pPr>
              <w:pStyle w:val="IndicatorText"/>
              <w:framePr w:hSpace="0" w:wrap="auto" w:vAnchor="margin" w:hAnchor="text" w:yAlign="inline"/>
              <w:spacing w:before="60" w:after="40"/>
              <w:rPr>
                <w:sz w:val="15"/>
                <w:szCs w:val="15"/>
              </w:rPr>
            </w:pPr>
            <w:r w:rsidRPr="00BB7254">
              <w:rPr>
                <w:sz w:val="15"/>
                <w:szCs w:val="15"/>
              </w:rPr>
              <w:t>Age standardization is done for comparability over time and between populations.</w:t>
            </w:r>
          </w:p>
        </w:tc>
      </w:tr>
      <w:tr w:rsidR="0099691F" w:rsidRPr="00DE0966" w:rsidTr="0099691F">
        <w:trPr>
          <w:trHeight w:val="224"/>
        </w:trPr>
        <w:tc>
          <w:tcPr>
            <w:tcW w:w="2042" w:type="dxa"/>
            <w:tcBorders>
              <w:top w:val="nil"/>
              <w:bottom w:val="nil"/>
            </w:tcBorders>
            <w:shd w:val="clear" w:color="000000" w:fill="E6F0FA"/>
          </w:tcPr>
          <w:p w:rsidR="0099691F" w:rsidRPr="00E500E5" w:rsidRDefault="0099691F" w:rsidP="0099691F">
            <w:pPr>
              <w:spacing w:after="0"/>
              <w:rPr>
                <w:rFonts w:eastAsia="Times New Roman" w:cstheme="minorHAnsi"/>
                <w:color w:val="003366"/>
                <w:sz w:val="16"/>
                <w:szCs w:val="16"/>
              </w:rPr>
            </w:pPr>
            <w:r w:rsidRPr="00E500E5">
              <w:rPr>
                <w:rFonts w:eastAsia="Times New Roman" w:cstheme="minorHAnsi"/>
                <w:color w:val="003366"/>
                <w:sz w:val="16"/>
                <w:szCs w:val="16"/>
              </w:rPr>
              <w:t>Measurement frequency</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Annual</w:t>
            </w:r>
          </w:p>
        </w:tc>
      </w:tr>
      <w:tr w:rsidR="0099691F" w:rsidRPr="00DE0966" w:rsidTr="0099691F">
        <w:trPr>
          <w:trHeight w:val="159"/>
        </w:trPr>
        <w:tc>
          <w:tcPr>
            <w:tcW w:w="2042" w:type="dxa"/>
            <w:tcBorders>
              <w:top w:val="nil"/>
              <w:bottom w:val="nil"/>
            </w:tcBorders>
            <w:shd w:val="clear" w:color="000000" w:fill="E6F0FA"/>
          </w:tcPr>
          <w:p w:rsidR="0099691F" w:rsidRPr="00E500E5" w:rsidRDefault="0099691F" w:rsidP="0099691F">
            <w:pPr>
              <w:spacing w:after="0"/>
              <w:rPr>
                <w:rFonts w:eastAsia="Times New Roman" w:cstheme="minorHAnsi"/>
                <w:color w:val="003366"/>
                <w:sz w:val="16"/>
                <w:szCs w:val="16"/>
              </w:rPr>
            </w:pPr>
            <w:r w:rsidRPr="00387AB0">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E500E5">
              <w:rPr>
                <w:rFonts w:eastAsia="Times New Roman" w:cstheme="minorHAnsi"/>
                <w:color w:val="003366"/>
                <w:sz w:val="16"/>
                <w:szCs w:val="16"/>
              </w:rPr>
              <w:t>framework</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Impact</w:t>
            </w:r>
          </w:p>
        </w:tc>
      </w:tr>
      <w:tr w:rsidR="0099691F" w:rsidRPr="00DE0966" w:rsidTr="0099691F">
        <w:trPr>
          <w:trHeight w:val="82"/>
        </w:trPr>
        <w:tc>
          <w:tcPr>
            <w:tcW w:w="2042" w:type="dxa"/>
            <w:tcBorders>
              <w:top w:val="nil"/>
              <w:bottom w:val="nil"/>
            </w:tcBorders>
            <w:shd w:val="clear" w:color="000000" w:fill="E6F0FA"/>
          </w:tcPr>
          <w:p w:rsidR="0099691F" w:rsidRPr="00E500E5" w:rsidRDefault="0099691F" w:rsidP="0099691F">
            <w:pPr>
              <w:spacing w:after="0"/>
              <w:rPr>
                <w:rFonts w:eastAsia="Times New Roman" w:cstheme="minorHAnsi"/>
                <w:color w:val="003366"/>
                <w:sz w:val="16"/>
                <w:szCs w:val="16"/>
              </w:rPr>
            </w:pPr>
            <w:r w:rsidRPr="00E500E5">
              <w:rPr>
                <w:rFonts w:eastAsia="Times New Roman" w:cstheme="minorHAnsi"/>
                <w:color w:val="003366"/>
                <w:sz w:val="16"/>
                <w:szCs w:val="16"/>
              </w:rPr>
              <w:t>Preferred data sources</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Civil registration with full coverage and medical certification of cause of death</w:t>
            </w:r>
          </w:p>
        </w:tc>
      </w:tr>
      <w:tr w:rsidR="0099691F" w:rsidRPr="00DE0966" w:rsidTr="0099691F">
        <w:trPr>
          <w:trHeight w:val="160"/>
        </w:trPr>
        <w:tc>
          <w:tcPr>
            <w:tcW w:w="2042" w:type="dxa"/>
            <w:tcBorders>
              <w:top w:val="nil"/>
              <w:bottom w:val="nil"/>
            </w:tcBorders>
            <w:shd w:val="clear" w:color="000000" w:fill="E6F0FA"/>
          </w:tcPr>
          <w:p w:rsidR="0099691F" w:rsidRPr="00E500E5" w:rsidRDefault="0099691F" w:rsidP="0099691F">
            <w:pPr>
              <w:spacing w:after="0"/>
              <w:rPr>
                <w:rFonts w:eastAsia="Times New Roman" w:cstheme="minorHAnsi"/>
                <w:color w:val="003366"/>
                <w:sz w:val="16"/>
                <w:szCs w:val="16"/>
              </w:rPr>
            </w:pPr>
            <w:r w:rsidRPr="00E500E5">
              <w:rPr>
                <w:rFonts w:eastAsia="Times New Roman" w:cstheme="minorHAnsi"/>
                <w:color w:val="003366"/>
                <w:sz w:val="16"/>
                <w:szCs w:val="16"/>
              </w:rPr>
              <w:t>Other possible data sources</w:t>
            </w:r>
          </w:p>
        </w:tc>
        <w:tc>
          <w:tcPr>
            <w:tcW w:w="7654" w:type="dxa"/>
            <w:shd w:val="clear" w:color="auto" w:fill="auto"/>
          </w:tcPr>
          <w:p w:rsidR="0099691F" w:rsidRPr="00BB7254" w:rsidRDefault="0099691F" w:rsidP="0099691F">
            <w:pPr>
              <w:pStyle w:val="IndicatorText"/>
              <w:framePr w:hSpace="0" w:wrap="auto" w:vAnchor="margin" w:hAnchor="text" w:yAlign="inline"/>
              <w:spacing w:before="0" w:after="0"/>
              <w:rPr>
                <w:sz w:val="15"/>
                <w:szCs w:val="15"/>
              </w:rPr>
            </w:pPr>
            <w:r w:rsidRPr="00BB7254">
              <w:rPr>
                <w:sz w:val="15"/>
                <w:szCs w:val="15"/>
              </w:rPr>
              <w:t>Routine facility information systems, household surveys with verbal autopsy, special studies</w:t>
            </w:r>
          </w:p>
        </w:tc>
      </w:tr>
      <w:tr w:rsidR="0099691F" w:rsidRPr="00DE0966" w:rsidTr="0099691F">
        <w:trPr>
          <w:trHeight w:val="160"/>
        </w:trPr>
        <w:tc>
          <w:tcPr>
            <w:tcW w:w="2042" w:type="dxa"/>
            <w:tcBorders>
              <w:top w:val="nil"/>
              <w:bottom w:val="nil"/>
            </w:tcBorders>
            <w:shd w:val="clear" w:color="000000" w:fill="E6F0FA"/>
          </w:tcPr>
          <w:p w:rsidR="0099691F" w:rsidRPr="00E500E5" w:rsidRDefault="0099691F" w:rsidP="00F35CAF">
            <w:pPr>
              <w:spacing w:before="60" w:after="4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tcBorders>
              <w:bottom w:val="nil"/>
            </w:tcBorders>
            <w:shd w:val="clear" w:color="auto" w:fill="auto"/>
          </w:tcPr>
          <w:p w:rsidR="0099691F" w:rsidRPr="002919FB" w:rsidRDefault="0099691F" w:rsidP="00F35CAF">
            <w:pPr>
              <w:pStyle w:val="IndicatorText"/>
              <w:framePr w:hSpace="0" w:wrap="auto" w:vAnchor="margin" w:hAnchor="text" w:yAlign="inline"/>
              <w:spacing w:before="60" w:after="40"/>
              <w:rPr>
                <w:sz w:val="15"/>
                <w:szCs w:val="15"/>
              </w:rPr>
            </w:pPr>
            <w:r w:rsidRPr="002919FB">
              <w:rPr>
                <w:sz w:val="15"/>
                <w:szCs w:val="15"/>
                <w:lang w:val="en-US"/>
              </w:rPr>
              <w:t>Household Survey Indicators for Malaria Control. Measure Evaluation/Measure DHS/President’s Malaria Initiative/Roll Back Malaria Partnership/UNICEF/WHO. 2013 (http://www.malariasurveys.org/documents/Household%20Survey%20Indicators%20for%20Malaria%20Control.pdf, accessed 15 April 2015.</w:t>
            </w:r>
          </w:p>
          <w:p w:rsidR="0099691F" w:rsidRPr="002919FB" w:rsidRDefault="0099691F" w:rsidP="0099691F">
            <w:pPr>
              <w:pStyle w:val="IndicatorText"/>
              <w:framePr w:hSpace="0" w:wrap="auto" w:vAnchor="margin" w:hAnchor="text" w:yAlign="inline"/>
              <w:spacing w:before="20" w:after="20"/>
              <w:rPr>
                <w:sz w:val="15"/>
                <w:szCs w:val="15"/>
                <w:lang w:val="en-US"/>
              </w:rPr>
            </w:pPr>
            <w:r w:rsidRPr="002919FB">
              <w:rPr>
                <w:sz w:val="15"/>
                <w:szCs w:val="15"/>
                <w:lang w:val="en-US"/>
              </w:rPr>
              <w:t>Indicators for monitoring the Millennium Development Goals: definitions, rationale, concepts and sources. New York (NY): United Nations; 2012 (http://mdgs.un.org/unsd/mi/wiki/MainPage.ashx, accessed 29 March 2015).</w:t>
            </w:r>
          </w:p>
          <w:p w:rsidR="0099691F" w:rsidRPr="002919FB" w:rsidRDefault="0099691F" w:rsidP="0099691F">
            <w:pPr>
              <w:pStyle w:val="IndicatorText"/>
              <w:framePr w:hSpace="0" w:wrap="auto" w:vAnchor="margin" w:hAnchor="text" w:yAlign="inline"/>
              <w:spacing w:before="20" w:after="20"/>
              <w:rPr>
                <w:sz w:val="15"/>
                <w:szCs w:val="15"/>
              </w:rPr>
            </w:pPr>
            <w:r w:rsidRPr="002919FB">
              <w:rPr>
                <w:sz w:val="15"/>
                <w:szCs w:val="15"/>
                <w:lang w:val="en-US"/>
              </w:rPr>
              <w:t>Roll Back Malaria Partnership/WHO. Disease surveillance for malaria control: an operations manual. Geneva: World Health Organization; 2012 (http://www.who.int/malaria/publications/atoz/9789241503341/en/, accessed 29 March 2015).</w:t>
            </w:r>
          </w:p>
          <w:p w:rsidR="0099691F" w:rsidRPr="00E500E5" w:rsidRDefault="0099691F" w:rsidP="0099691F">
            <w:pPr>
              <w:pStyle w:val="IndicatorText"/>
              <w:framePr w:hSpace="0" w:wrap="auto" w:vAnchor="margin" w:hAnchor="text" w:yAlign="inline"/>
              <w:spacing w:before="20" w:after="20"/>
            </w:pPr>
            <w:r w:rsidRPr="002919FB">
              <w:rPr>
                <w:sz w:val="15"/>
                <w:szCs w:val="15"/>
                <w:lang w:val="en-US"/>
              </w:rPr>
              <w:t>World Health Assembly governing body documentation: official records. Geneva: World Health Organization (http://apps.who.int/gb/or/, accessed 29 March 2015).</w:t>
            </w:r>
          </w:p>
        </w:tc>
      </w:tr>
    </w:tbl>
    <w:p w:rsidR="00BB7254" w:rsidRPr="00BB7254" w:rsidRDefault="00BB7254" w:rsidP="00BB7254">
      <w:pPr>
        <w:spacing w:after="0"/>
      </w:pPr>
    </w:p>
    <w:p w:rsidR="00BB7254" w:rsidRPr="00277801" w:rsidRDefault="00BB7254" w:rsidP="00BB7254">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3</w:t>
      </w:r>
      <w:r w:rsidRPr="00277801">
        <w:rPr>
          <w:color w:val="FFFFFF" w:themeColor="background1"/>
        </w:rPr>
        <w:t xml:space="preserve">: </w:t>
      </w:r>
      <w:r>
        <w:rPr>
          <w:color w:val="FFFFFF" w:themeColor="background1"/>
        </w:rPr>
        <w:tab/>
      </w:r>
      <w:r w:rsidRPr="00277801">
        <w:rPr>
          <w:color w:val="FFFFFF" w:themeColor="background1"/>
        </w:rPr>
        <w:t>By 2030, end the epidemics of AIDS, tuberculosis, malaria and neglected tropical diseases and combat</w:t>
      </w:r>
      <w:r>
        <w:rPr>
          <w:color w:val="FFFFFF" w:themeColor="background1"/>
        </w:rPr>
        <w:br/>
        <w:t>h</w:t>
      </w:r>
      <w:r w:rsidRPr="00277801">
        <w:rPr>
          <w:color w:val="FFFFFF" w:themeColor="background1"/>
        </w:rPr>
        <w:t>epatitis, water-borne diseases and other communicable disease</w:t>
      </w:r>
    </w:p>
    <w:p w:rsidR="00F35CAF" w:rsidRDefault="00F35CAF" w:rsidP="00BB7254">
      <w:pPr>
        <w:pStyle w:val="Tablesub-heading"/>
      </w:pPr>
      <w:r>
        <w:t>Indicator 3.3.7</w:t>
      </w:r>
      <w:r w:rsidR="00BB7254">
        <w:t>:</w:t>
      </w:r>
      <w:r w:rsidR="00BB7254">
        <w:tab/>
      </w:r>
      <w:r w:rsidRPr="00F35CAF">
        <w:t>Prevalence of hepatitis B surface antigen in children under 5</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F35CAF" w:rsidRPr="00DE0966" w:rsidTr="00F35CAF">
        <w:trPr>
          <w:trHeight w:val="117"/>
        </w:trPr>
        <w:tc>
          <w:tcPr>
            <w:tcW w:w="2042" w:type="dxa"/>
            <w:tcBorders>
              <w:top w:val="single" w:sz="4" w:space="0" w:color="A3BBD5"/>
              <w:bottom w:val="nil"/>
            </w:tcBorders>
            <w:shd w:val="clear" w:color="000000" w:fill="E6F0FA"/>
            <w:hideMark/>
          </w:tcPr>
          <w:p w:rsidR="00F35CAF" w:rsidRPr="00972EE8"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F35CAF" w:rsidRPr="006B7894" w:rsidRDefault="00F35CAF" w:rsidP="00F35CAF">
            <w:pPr>
              <w:pStyle w:val="IndicatorName"/>
              <w:framePr w:hSpace="0" w:wrap="auto" w:vAnchor="margin" w:hAnchor="text" w:yAlign="inline"/>
              <w:rPr>
                <w:color w:val="FF0000"/>
              </w:rPr>
            </w:pPr>
          </w:p>
        </w:tc>
      </w:tr>
      <w:tr w:rsidR="00F35CAF" w:rsidRPr="00DE0966" w:rsidTr="00F35CAF">
        <w:trPr>
          <w:trHeight w:val="35"/>
        </w:trPr>
        <w:tc>
          <w:tcPr>
            <w:tcW w:w="2042" w:type="dxa"/>
            <w:tcBorders>
              <w:top w:val="nil"/>
              <w:bottom w:val="nil"/>
            </w:tcBorders>
            <w:shd w:val="clear" w:color="000000" w:fill="E6F0FA"/>
            <w:hideMark/>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Indicator name</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Domain</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Associated terms</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Definition</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Numerator</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62"/>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Denominator</w:t>
            </w:r>
          </w:p>
        </w:tc>
        <w:tc>
          <w:tcPr>
            <w:tcW w:w="7654" w:type="dxa"/>
            <w:shd w:val="clear" w:color="auto" w:fill="auto"/>
          </w:tcPr>
          <w:p w:rsidR="00F35CAF" w:rsidRPr="006B7894" w:rsidRDefault="00F35CAF" w:rsidP="00F35CAF">
            <w:pPr>
              <w:pStyle w:val="IndicatorText"/>
              <w:framePr w:hSpace="0" w:wrap="auto" w:vAnchor="margin" w:hAnchor="text" w:yAlign="inline"/>
              <w:tabs>
                <w:tab w:val="left" w:pos="1390"/>
              </w:tabs>
              <w:rPr>
                <w:color w:val="FF0000"/>
              </w:rPr>
            </w:pPr>
          </w:p>
        </w:tc>
      </w:tr>
      <w:tr w:rsidR="00F35CAF" w:rsidRPr="00DE0966" w:rsidTr="00F35CAF">
        <w:trPr>
          <w:trHeight w:val="268"/>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Disaggregation/</w:t>
            </w:r>
            <w:r w:rsidRPr="00972EE8">
              <w:rPr>
                <w:rFonts w:eastAsia="Times New Roman" w:cstheme="minorHAnsi"/>
                <w:color w:val="003366"/>
                <w:sz w:val="16"/>
                <w:szCs w:val="16"/>
              </w:rPr>
              <w:br/>
              <w:t>additional dimension</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122"/>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Method of measurement</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160"/>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Method of estimation</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224"/>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Measurement frequency</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159"/>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CC28B2">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972EE8">
              <w:rPr>
                <w:rFonts w:eastAsia="Times New Roman" w:cstheme="minorHAnsi"/>
                <w:color w:val="003366"/>
                <w:sz w:val="16"/>
                <w:szCs w:val="16"/>
              </w:rPr>
              <w:t>framework</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82"/>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sidRPr="00972EE8">
              <w:rPr>
                <w:rFonts w:eastAsia="Times New Roman" w:cstheme="minorHAnsi"/>
                <w:color w:val="003366"/>
                <w:sz w:val="16"/>
                <w:szCs w:val="16"/>
              </w:rPr>
              <w:t>Preferred data sources</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160"/>
        </w:trPr>
        <w:tc>
          <w:tcPr>
            <w:tcW w:w="2042" w:type="dxa"/>
            <w:tcBorders>
              <w:top w:val="nil"/>
              <w:bottom w:val="nil"/>
            </w:tcBorders>
            <w:shd w:val="clear" w:color="000000" w:fill="E6F0FA"/>
          </w:tcPr>
          <w:p w:rsidR="00F35CAF" w:rsidRPr="00972EE8"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Other possible data sources</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r w:rsidR="00F35CAF" w:rsidRPr="00DE0966" w:rsidTr="00F35CAF">
        <w:trPr>
          <w:trHeight w:val="160"/>
        </w:trPr>
        <w:tc>
          <w:tcPr>
            <w:tcW w:w="2042" w:type="dxa"/>
            <w:tcBorders>
              <w:top w:val="nil"/>
              <w:bottom w:val="single" w:sz="4" w:space="0" w:color="A3BBD5"/>
            </w:tcBorders>
            <w:shd w:val="clear" w:color="000000" w:fill="E6F0FA"/>
          </w:tcPr>
          <w:p w:rsidR="00F35CAF" w:rsidRPr="00972EE8"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F35CAF" w:rsidRPr="006B7894" w:rsidRDefault="00F35CAF" w:rsidP="00F35CAF">
            <w:pPr>
              <w:pStyle w:val="IndicatorText"/>
              <w:framePr w:hSpace="0" w:wrap="auto" w:vAnchor="margin" w:hAnchor="text" w:yAlign="inline"/>
              <w:rPr>
                <w:color w:val="FF0000"/>
              </w:rPr>
            </w:pPr>
          </w:p>
        </w:tc>
      </w:tr>
    </w:tbl>
    <w:p w:rsidR="00F35CAF" w:rsidRDefault="00F35CAF" w:rsidP="00F35CAF"/>
    <w:p w:rsidR="00F35CAF" w:rsidRDefault="00F35CAF" w:rsidP="00F35CAF">
      <w:r>
        <w:br w:type="page"/>
      </w:r>
    </w:p>
    <w:p w:rsidR="00BB7254" w:rsidRPr="00277801" w:rsidRDefault="00BB7254" w:rsidP="00BB7254">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4</w:t>
      </w:r>
      <w:r w:rsidRPr="00277801">
        <w:rPr>
          <w:color w:val="FFFFFF" w:themeColor="background1"/>
        </w:rPr>
        <w:t xml:space="preserve">: </w:t>
      </w:r>
      <w:r>
        <w:rPr>
          <w:color w:val="FFFFFF" w:themeColor="background1"/>
        </w:rPr>
        <w:tab/>
      </w:r>
      <w:r w:rsidRPr="00BB7254">
        <w:rPr>
          <w:color w:val="FFFFFF" w:themeColor="background1"/>
        </w:rPr>
        <w:t>By 2030, reduce by one third premature mortality from non-communicable diseases through prevention and treatment and promote mental health and well being</w:t>
      </w:r>
    </w:p>
    <w:p w:rsidR="00F35CAF" w:rsidRDefault="00F35CAF" w:rsidP="006B7894">
      <w:pPr>
        <w:pStyle w:val="Tablesub-heading"/>
        <w:ind w:left="1440" w:hanging="1440"/>
      </w:pPr>
      <w:r>
        <w:t>Indicator 3.4.1</w:t>
      </w:r>
      <w:r w:rsidR="00BB7254">
        <w:t>:</w:t>
      </w:r>
      <w:r w:rsidR="00BB7254">
        <w:tab/>
      </w:r>
      <w:r w:rsidRPr="00F35CAF">
        <w:t>Probability of dying of cardiovascular disease, cancer, diabetes, or chronic respiratory disease between</w:t>
      </w:r>
      <w:r w:rsidR="006B7894">
        <w:br/>
      </w:r>
      <w:r w:rsidRPr="00F35CAF">
        <w:t>ages 30 and 70</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F35CAF" w:rsidRPr="00DE0966" w:rsidTr="00F35CAF">
        <w:trPr>
          <w:trHeight w:val="117"/>
        </w:trPr>
        <w:tc>
          <w:tcPr>
            <w:tcW w:w="2042" w:type="dxa"/>
            <w:tcBorders>
              <w:top w:val="single" w:sz="4" w:space="0" w:color="A3BBD5"/>
              <w:bottom w:val="nil"/>
            </w:tcBorders>
            <w:shd w:val="clear" w:color="000000" w:fill="E6F0FA"/>
            <w:hideMark/>
          </w:tcPr>
          <w:p w:rsidR="00F35CAF" w:rsidRPr="00DE01FD"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F35CAF" w:rsidRPr="00DE01FD" w:rsidRDefault="00F35CAF" w:rsidP="00F35CAF">
            <w:pPr>
              <w:pStyle w:val="IndicatorName"/>
              <w:framePr w:hSpace="0" w:wrap="auto" w:vAnchor="margin" w:hAnchor="text" w:yAlign="inline"/>
              <w:rPr>
                <w:szCs w:val="16"/>
              </w:rPr>
            </w:pPr>
            <w:r>
              <w:rPr>
                <w:rFonts w:asciiTheme="minorHAnsi" w:eastAsiaTheme="minorEastAsia" w:hAnsiTheme="minorHAnsi" w:cstheme="minorBidi"/>
                <w:color w:val="auto"/>
                <w:sz w:val="22"/>
                <w:lang w:eastAsia="zh-CN"/>
              </w:rPr>
              <w:br w:type="page"/>
            </w:r>
            <w:r>
              <w:br w:type="page"/>
            </w:r>
            <w:r>
              <w:rPr>
                <w:rFonts w:asciiTheme="minorHAnsi" w:eastAsiaTheme="minorEastAsia" w:hAnsiTheme="minorHAnsi" w:cstheme="minorBidi"/>
                <w:color w:val="auto"/>
                <w:sz w:val="22"/>
                <w:lang w:eastAsia="zh-CN"/>
              </w:rPr>
              <w:br w:type="page"/>
            </w:r>
            <w:r w:rsidRPr="00D6033E">
              <w:t xml:space="preserve">Mortality between 30 and 70 years </w:t>
            </w:r>
            <w:r>
              <w:t xml:space="preserve">of age </w:t>
            </w:r>
            <w:r w:rsidRPr="00D6033E">
              <w:t>from cardiovascular diseases, cancer, diabetes or chronic respiratory diseases</w:t>
            </w:r>
          </w:p>
        </w:tc>
      </w:tr>
      <w:tr w:rsidR="00F35CAF" w:rsidRPr="00DE0966" w:rsidTr="00F35CAF">
        <w:trPr>
          <w:trHeight w:val="35"/>
        </w:trPr>
        <w:tc>
          <w:tcPr>
            <w:tcW w:w="2042" w:type="dxa"/>
            <w:tcBorders>
              <w:top w:val="nil"/>
              <w:bottom w:val="nil"/>
            </w:tcBorders>
            <w:shd w:val="clear" w:color="000000" w:fill="E6F0FA"/>
            <w:hideMark/>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Indicator name</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Mortality between ages 30 and 70 years from cardiovascular diseases, cancer, diabetes or chronic respiratory diseases</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Domain</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Health status</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Pr>
                <w:szCs w:val="16"/>
              </w:rPr>
              <w:t>NCDs</w:t>
            </w:r>
            <w:r w:rsidRPr="00DE01FD">
              <w:rPr>
                <w:szCs w:val="16"/>
              </w:rPr>
              <w:t xml:space="preserve"> </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Associated terms</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Mortality by cause</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Definition</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Unconditional probability of dying between the exact ages</w:t>
            </w:r>
            <w:r>
              <w:rPr>
                <w:szCs w:val="16"/>
              </w:rPr>
              <w:t xml:space="preserve"> of</w:t>
            </w:r>
            <w:r w:rsidRPr="00DE01FD">
              <w:rPr>
                <w:szCs w:val="16"/>
              </w:rPr>
              <w:t xml:space="preserve"> 30 and 70 years from cardiovascular diseases, cancer, diabetes or chronic respiratory diseases.</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Numerator</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 xml:space="preserve">Number of deaths </w:t>
            </w:r>
            <w:r>
              <w:rPr>
                <w:szCs w:val="16"/>
              </w:rPr>
              <w:t xml:space="preserve">between </w:t>
            </w:r>
            <w:r w:rsidRPr="00DE01FD">
              <w:rPr>
                <w:szCs w:val="16"/>
              </w:rPr>
              <w:t>ages 30</w:t>
            </w:r>
            <w:r>
              <w:rPr>
                <w:szCs w:val="16"/>
              </w:rPr>
              <w:t xml:space="preserve"> and </w:t>
            </w:r>
            <w:r w:rsidRPr="00DE01FD">
              <w:rPr>
                <w:szCs w:val="16"/>
              </w:rPr>
              <w:t>70 years due to the four causes</w:t>
            </w:r>
            <w:r>
              <w:rPr>
                <w:szCs w:val="16"/>
              </w:rPr>
              <w:t>.</w:t>
            </w:r>
          </w:p>
        </w:tc>
      </w:tr>
      <w:tr w:rsidR="00F35CAF" w:rsidRPr="00DE0966" w:rsidTr="00F35CAF">
        <w:trPr>
          <w:trHeight w:val="62"/>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Denominator</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Pr>
                <w:szCs w:val="16"/>
              </w:rPr>
              <w:t>Number of</w:t>
            </w:r>
            <w:r w:rsidRPr="00DE01FD">
              <w:rPr>
                <w:szCs w:val="16"/>
              </w:rPr>
              <w:t xml:space="preserve"> years of exposure</w:t>
            </w:r>
            <w:r>
              <w:rPr>
                <w:szCs w:val="16"/>
              </w:rPr>
              <w:t>.</w:t>
            </w:r>
          </w:p>
        </w:tc>
      </w:tr>
      <w:tr w:rsidR="00F35CAF" w:rsidRPr="00DE0966" w:rsidTr="00F35CAF">
        <w:trPr>
          <w:trHeight w:val="268"/>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Disaggregation/</w:t>
            </w:r>
            <w:r w:rsidRPr="00DE01FD">
              <w:rPr>
                <w:rFonts w:eastAsia="Times New Roman" w:cstheme="minorHAnsi"/>
                <w:color w:val="003366"/>
                <w:sz w:val="16"/>
                <w:szCs w:val="16"/>
              </w:rPr>
              <w:br/>
              <w:t>additional dimension</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Place of residence</w:t>
            </w:r>
            <w:r>
              <w:rPr>
                <w:szCs w:val="16"/>
              </w:rPr>
              <w:t>, s</w:t>
            </w:r>
            <w:r w:rsidRPr="00DE01FD">
              <w:rPr>
                <w:szCs w:val="16"/>
              </w:rPr>
              <w:t>ex</w:t>
            </w:r>
            <w:r>
              <w:rPr>
                <w:szCs w:val="16"/>
              </w:rPr>
              <w:t>, s</w:t>
            </w:r>
            <w:r w:rsidRPr="00DE01FD">
              <w:rPr>
                <w:szCs w:val="16"/>
              </w:rPr>
              <w:t>ocioeconomic status</w:t>
            </w:r>
          </w:p>
        </w:tc>
      </w:tr>
      <w:tr w:rsidR="00F35CAF" w:rsidRPr="00DE0966" w:rsidTr="00F35CAF">
        <w:trPr>
          <w:trHeight w:val="122"/>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Method of measurement</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Deaths from these four causes will be based on the following ICD codes:</w:t>
            </w:r>
            <w:r>
              <w:rPr>
                <w:szCs w:val="16"/>
              </w:rPr>
              <w:t xml:space="preserve"> </w:t>
            </w:r>
            <w:r w:rsidRPr="00DE01FD">
              <w:rPr>
                <w:szCs w:val="16"/>
              </w:rPr>
              <w:t>100</w:t>
            </w:r>
            <w:r>
              <w:rPr>
                <w:szCs w:val="16"/>
              </w:rPr>
              <w:sym w:font="Symbol" w:char="F02D"/>
            </w:r>
            <w:r w:rsidRPr="00DE01FD">
              <w:rPr>
                <w:szCs w:val="16"/>
              </w:rPr>
              <w:t>I99, COO</w:t>
            </w:r>
            <w:r>
              <w:rPr>
                <w:szCs w:val="16"/>
              </w:rPr>
              <w:sym w:font="Symbol" w:char="F02D"/>
            </w:r>
            <w:r w:rsidRPr="00DE01FD">
              <w:rPr>
                <w:szCs w:val="16"/>
              </w:rPr>
              <w:t>C97, E10</w:t>
            </w:r>
            <w:r>
              <w:rPr>
                <w:szCs w:val="16"/>
              </w:rPr>
              <w:sym w:font="Symbol" w:char="F02D"/>
            </w:r>
            <w:r w:rsidRPr="00DE01FD">
              <w:rPr>
                <w:szCs w:val="16"/>
              </w:rPr>
              <w:t>E14</w:t>
            </w:r>
            <w:r>
              <w:rPr>
                <w:szCs w:val="16"/>
              </w:rPr>
              <w:t xml:space="preserve"> </w:t>
            </w:r>
            <w:r w:rsidRPr="00DE01FD">
              <w:rPr>
                <w:szCs w:val="16"/>
              </w:rPr>
              <w:t>and J30</w:t>
            </w:r>
            <w:r>
              <w:rPr>
                <w:szCs w:val="16"/>
              </w:rPr>
              <w:sym w:font="Symbol" w:char="F02D"/>
            </w:r>
            <w:r w:rsidRPr="00DE01FD">
              <w:rPr>
                <w:szCs w:val="16"/>
              </w:rPr>
              <w:t>J98</w:t>
            </w:r>
            <w:r>
              <w:rPr>
                <w:szCs w:val="16"/>
              </w:rPr>
              <w:t>.</w:t>
            </w:r>
          </w:p>
        </w:tc>
      </w:tr>
      <w:tr w:rsidR="00F35CAF" w:rsidRPr="00DE0966" w:rsidTr="00F35CAF">
        <w:trPr>
          <w:trHeight w:val="160"/>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Method of estimation</w:t>
            </w:r>
          </w:p>
        </w:tc>
        <w:tc>
          <w:tcPr>
            <w:tcW w:w="7654" w:type="dxa"/>
            <w:shd w:val="clear" w:color="auto" w:fill="auto"/>
          </w:tcPr>
          <w:p w:rsidR="00F35CAF" w:rsidRDefault="00F35CAF" w:rsidP="00F35CAF">
            <w:pPr>
              <w:pStyle w:val="IndicatorText"/>
              <w:framePr w:hSpace="0" w:wrap="auto" w:vAnchor="margin" w:hAnchor="text" w:yAlign="inline"/>
              <w:rPr>
                <w:szCs w:val="16"/>
              </w:rPr>
            </w:pPr>
            <w:r w:rsidRPr="00DE01FD">
              <w:rPr>
                <w:szCs w:val="16"/>
              </w:rPr>
              <w:t>Model</w:t>
            </w:r>
            <w:r>
              <w:rPr>
                <w:szCs w:val="16"/>
              </w:rPr>
              <w:t>l</w:t>
            </w:r>
            <w:r w:rsidRPr="00DE01FD">
              <w:rPr>
                <w:szCs w:val="16"/>
              </w:rPr>
              <w:t>ing</w:t>
            </w:r>
            <w:r>
              <w:rPr>
                <w:szCs w:val="16"/>
              </w:rPr>
              <w:t>,</w:t>
            </w:r>
            <w:r w:rsidRPr="00DE01FD">
              <w:rPr>
                <w:szCs w:val="16"/>
              </w:rPr>
              <w:t xml:space="preserve"> using multiple inputs</w:t>
            </w:r>
            <w:r>
              <w:rPr>
                <w:szCs w:val="16"/>
              </w:rPr>
              <w:t>,</w:t>
            </w:r>
            <w:r w:rsidRPr="00DE01FD">
              <w:rPr>
                <w:szCs w:val="16"/>
              </w:rPr>
              <w:t xml:space="preserve"> is often used if no complete </w:t>
            </w:r>
            <w:r>
              <w:rPr>
                <w:szCs w:val="16"/>
              </w:rPr>
              <w:t>and accurate data are available.</w:t>
            </w:r>
          </w:p>
          <w:p w:rsidR="00F35CAF" w:rsidRPr="00DE01FD" w:rsidRDefault="00F35CAF" w:rsidP="00F35CAF">
            <w:pPr>
              <w:pStyle w:val="IndicatorText"/>
              <w:framePr w:hSpace="0" w:wrap="auto" w:vAnchor="margin" w:hAnchor="text" w:yAlign="inline"/>
              <w:rPr>
                <w:szCs w:val="16"/>
              </w:rPr>
            </w:pPr>
            <w:r>
              <w:rPr>
                <w:szCs w:val="16"/>
              </w:rPr>
              <w:t>Age standardization is done for comparability over time and between populations.</w:t>
            </w:r>
          </w:p>
        </w:tc>
      </w:tr>
      <w:tr w:rsidR="00F35CAF" w:rsidRPr="00DE0966" w:rsidTr="00F35CAF">
        <w:trPr>
          <w:trHeight w:val="224"/>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Measurement frequency</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Annual if civil registration data; otherwise every 3</w:t>
            </w:r>
            <w:r>
              <w:rPr>
                <w:szCs w:val="16"/>
              </w:rPr>
              <w:sym w:font="Symbol" w:char="F02D"/>
            </w:r>
            <w:r w:rsidRPr="00DE01FD">
              <w:rPr>
                <w:szCs w:val="16"/>
              </w:rPr>
              <w:t>5 years</w:t>
            </w:r>
          </w:p>
        </w:tc>
      </w:tr>
      <w:tr w:rsidR="00F35CAF" w:rsidRPr="00DE0966" w:rsidTr="00F35CAF">
        <w:trPr>
          <w:trHeight w:val="159"/>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387AB0">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DE01FD">
              <w:rPr>
                <w:rFonts w:eastAsia="Times New Roman" w:cstheme="minorHAnsi"/>
                <w:color w:val="003366"/>
                <w:sz w:val="16"/>
                <w:szCs w:val="16"/>
              </w:rPr>
              <w:t>framework</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Impact</w:t>
            </w:r>
          </w:p>
        </w:tc>
      </w:tr>
      <w:tr w:rsidR="00F35CAF" w:rsidRPr="00DE0966" w:rsidTr="00F35CAF">
        <w:trPr>
          <w:trHeight w:val="82"/>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Preferred data sources</w:t>
            </w:r>
          </w:p>
        </w:tc>
        <w:tc>
          <w:tcPr>
            <w:tcW w:w="7654" w:type="dxa"/>
            <w:shd w:val="clear" w:color="auto" w:fill="auto"/>
          </w:tcPr>
          <w:p w:rsidR="00F35CAF" w:rsidRPr="00DE01FD" w:rsidRDefault="00F35CAF" w:rsidP="00F35CAF">
            <w:pPr>
              <w:pStyle w:val="IndicatorText"/>
              <w:framePr w:hSpace="0" w:wrap="auto" w:vAnchor="margin" w:hAnchor="text" w:yAlign="inline"/>
              <w:tabs>
                <w:tab w:val="left" w:pos="3245"/>
              </w:tabs>
              <w:rPr>
                <w:szCs w:val="16"/>
              </w:rPr>
            </w:pPr>
            <w:r w:rsidRPr="00DE01FD">
              <w:rPr>
                <w:szCs w:val="16"/>
              </w:rPr>
              <w:t>Civil registration and vital statistics systems</w:t>
            </w:r>
          </w:p>
        </w:tc>
      </w:tr>
      <w:tr w:rsidR="00F35CAF" w:rsidRPr="00DE0966" w:rsidTr="00F35CAF">
        <w:trPr>
          <w:trHeight w:val="160"/>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Other possible data sources</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DE01FD">
              <w:rPr>
                <w:szCs w:val="16"/>
              </w:rPr>
              <w:t>Population-based health surveys with verbal autopsy</w:t>
            </w:r>
          </w:p>
        </w:tc>
      </w:tr>
      <w:tr w:rsidR="00F35CAF" w:rsidRPr="00DE0966" w:rsidTr="00F35CAF">
        <w:trPr>
          <w:trHeight w:val="160"/>
        </w:trPr>
        <w:tc>
          <w:tcPr>
            <w:tcW w:w="2042" w:type="dxa"/>
            <w:tcBorders>
              <w:top w:val="nil"/>
              <w:bottom w:val="single" w:sz="4" w:space="0" w:color="A3BBD5"/>
            </w:tcBorders>
            <w:shd w:val="clear" w:color="000000" w:fill="E6F0FA"/>
          </w:tcPr>
          <w:p w:rsidR="00F35CAF" w:rsidRPr="00DE01FD"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F35CAF" w:rsidRPr="00DE01FD" w:rsidRDefault="00F35CAF" w:rsidP="00F35CAF">
            <w:pPr>
              <w:pStyle w:val="IndicatorText"/>
              <w:framePr w:hSpace="0" w:wrap="auto" w:vAnchor="margin" w:hAnchor="text" w:yAlign="inline"/>
              <w:rPr>
                <w:szCs w:val="16"/>
              </w:rPr>
            </w:pPr>
            <w:r w:rsidRPr="00B2514B">
              <w:rPr>
                <w:szCs w:val="16"/>
                <w:lang w:val="en-US"/>
              </w:rPr>
              <w:t>Draft comprehensive global monitoring framework and targets for the prevention and control of noncommunicable diseases, including a set of indicators. Agenda item A66/8, Sixty-sixth World Health Assembly, 20–28 May 2013. Geneva: World Health Organization; 2013 (</w:t>
            </w:r>
            <w:r w:rsidRPr="0056160E">
              <w:rPr>
                <w:szCs w:val="16"/>
                <w:lang w:val="en-US"/>
              </w:rPr>
              <w:t>http://apps.who.int/gb/ebwha/pdf_files/WHA66/A66_8-en.pdf?ua=1</w:t>
            </w:r>
            <w:r w:rsidRPr="00B2514B">
              <w:rPr>
                <w:szCs w:val="16"/>
                <w:lang w:val="en-US"/>
              </w:rPr>
              <w:t>, accessed 29 March 2015).</w:t>
            </w:r>
          </w:p>
          <w:p w:rsidR="00F35CAF" w:rsidRPr="00DE01FD" w:rsidRDefault="00F35CAF" w:rsidP="00F35CAF">
            <w:pPr>
              <w:pStyle w:val="IndicatorText"/>
              <w:framePr w:hSpace="0" w:wrap="auto" w:vAnchor="margin" w:hAnchor="text" w:yAlign="inline"/>
              <w:rPr>
                <w:szCs w:val="16"/>
              </w:rPr>
            </w:pPr>
            <w:r w:rsidRPr="00724D55">
              <w:rPr>
                <w:szCs w:val="16"/>
                <w:lang w:val="en-US"/>
              </w:rPr>
              <w:t>Framework of actions for the follow-up to the Programme of Action of the International Conference on Population and Development beyond 2014. Report of the Secretary-General. New York (NY): United Nations;</w:t>
            </w:r>
            <w:r>
              <w:rPr>
                <w:szCs w:val="16"/>
                <w:lang w:val="en-US"/>
              </w:rPr>
              <w:t xml:space="preserve"> </w:t>
            </w:r>
            <w:r w:rsidRPr="00724D55">
              <w:rPr>
                <w:szCs w:val="16"/>
                <w:lang w:val="en-US"/>
              </w:rPr>
              <w:t>2014 (</w:t>
            </w:r>
            <w:r w:rsidRPr="0056160E">
              <w:rPr>
                <w:szCs w:val="16"/>
                <w:lang w:val="en-US"/>
              </w:rPr>
              <w:t>https://www.unfpa.org/webdav/site/global/shared/documents/ICPD/Framework%20of%20action%20for%20the%20follow-up%20to%20the%20PoA%20of%20the%20ICPD.pdf</w:t>
            </w:r>
            <w:r w:rsidRPr="00724D55">
              <w:rPr>
                <w:szCs w:val="16"/>
                <w:lang w:val="en-US"/>
              </w:rPr>
              <w:t>, accessed 19 August 2014).</w:t>
            </w:r>
          </w:p>
          <w:p w:rsidR="00F35CAF" w:rsidRPr="00DE01FD" w:rsidRDefault="00F35CAF" w:rsidP="00F35CAF">
            <w:pPr>
              <w:pStyle w:val="IndicatorText"/>
              <w:framePr w:hSpace="0" w:wrap="auto" w:vAnchor="margin" w:hAnchor="text" w:yAlign="inline"/>
              <w:rPr>
                <w:szCs w:val="16"/>
              </w:rPr>
            </w:pPr>
            <w:r w:rsidRPr="00B2514B">
              <w:rPr>
                <w:szCs w:val="16"/>
                <w:lang w:val="en-US"/>
              </w:rPr>
              <w:t>World health statistics 2014. Geneva: World Health Organization; 2014 (</w:t>
            </w:r>
            <w:r w:rsidRPr="0056160E">
              <w:rPr>
                <w:szCs w:val="16"/>
                <w:lang w:val="en-US"/>
              </w:rPr>
              <w:t>http://apps.who.int/iris/bitstream/10665/112738/1/9789240692671_eng.pdf?ua=1</w:t>
            </w:r>
            <w:r w:rsidRPr="00B2514B">
              <w:rPr>
                <w:szCs w:val="16"/>
                <w:lang w:val="en-US"/>
              </w:rPr>
              <w:t>, accessed 29 March 2015).</w:t>
            </w:r>
          </w:p>
        </w:tc>
      </w:tr>
    </w:tbl>
    <w:p w:rsidR="00F35CAF" w:rsidRDefault="00F35CAF" w:rsidP="00F35CAF"/>
    <w:p w:rsidR="00F35CAF" w:rsidRDefault="00F35CAF" w:rsidP="00F35CAF">
      <w:r>
        <w:br w:type="page"/>
      </w:r>
    </w:p>
    <w:p w:rsidR="006B7894" w:rsidRPr="00277801" w:rsidRDefault="006B7894" w:rsidP="006B7894">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5</w:t>
      </w:r>
      <w:r w:rsidRPr="00277801">
        <w:rPr>
          <w:color w:val="FFFFFF" w:themeColor="background1"/>
        </w:rPr>
        <w:t xml:space="preserve">: </w:t>
      </w:r>
      <w:r>
        <w:rPr>
          <w:color w:val="FFFFFF" w:themeColor="background1"/>
        </w:rPr>
        <w:tab/>
      </w:r>
      <w:r w:rsidRPr="006B7894">
        <w:rPr>
          <w:color w:val="FFFFFF" w:themeColor="background1"/>
        </w:rPr>
        <w:t>Strengthen the prevention and treatment of substance abuse, including narcotic drug abuse and harmful use of alcohol</w:t>
      </w:r>
    </w:p>
    <w:p w:rsidR="00F35CAF" w:rsidRDefault="006B7894" w:rsidP="00F35CAF">
      <w:pPr>
        <w:pStyle w:val="Tablesub-heading"/>
      </w:pPr>
      <w:r>
        <w:t>Indicator 3.5.1:</w:t>
      </w:r>
      <w:r>
        <w:tab/>
      </w:r>
      <w:r w:rsidR="00F35CAF" w:rsidRPr="00F35CAF">
        <w:t>Coverage of opioid substitution therapy among opioid-dependent drug users</w:t>
      </w:r>
    </w:p>
    <w:tbl>
      <w:tblPr>
        <w:tblW w:w="5000" w:type="pct"/>
        <w:tblBorders>
          <w:top w:val="single" w:sz="12" w:space="0" w:color="A3BBD5"/>
          <w:left w:val="single" w:sz="12" w:space="0" w:color="A3BBD5"/>
          <w:bottom w:val="single" w:sz="12" w:space="0" w:color="A3BBD5"/>
          <w:right w:val="single" w:sz="12" w:space="0" w:color="A3BBD5"/>
          <w:insideH w:val="single" w:sz="6" w:space="0" w:color="A3BBD5"/>
          <w:insideV w:val="single" w:sz="6" w:space="0" w:color="A3BBD5"/>
        </w:tblBorders>
        <w:tblLayout w:type="fixed"/>
        <w:tblLook w:val="04A0" w:firstRow="1" w:lastRow="0" w:firstColumn="1" w:lastColumn="0" w:noHBand="0" w:noVBand="1"/>
      </w:tblPr>
      <w:tblGrid>
        <w:gridCol w:w="2216"/>
        <w:gridCol w:w="21"/>
        <w:gridCol w:w="4338"/>
        <w:gridCol w:w="62"/>
        <w:gridCol w:w="3032"/>
        <w:gridCol w:w="92"/>
      </w:tblGrid>
      <w:tr w:rsidR="00F35CAF" w:rsidRPr="006B6311" w:rsidTr="00F35CAF">
        <w:trPr>
          <w:gridAfter w:val="1"/>
          <w:wAfter w:w="47" w:type="pct"/>
          <w:cantSplit/>
          <w:trHeight w:val="600"/>
          <w:tblHeader/>
        </w:trPr>
        <w:tc>
          <w:tcPr>
            <w:tcW w:w="1135" w:type="pct"/>
            <w:shd w:val="clear" w:color="auto" w:fill="A3BBD5"/>
            <w:vAlign w:val="center"/>
            <w:hideMark/>
          </w:tcPr>
          <w:p w:rsidR="00F35CAF" w:rsidRPr="006B6311" w:rsidRDefault="00F35CAF" w:rsidP="00F35CAF">
            <w:pPr>
              <w:spacing w:after="0" w:line="240" w:lineRule="auto"/>
              <w:rPr>
                <w:rFonts w:ascii="Calibri" w:eastAsia="Times New Roman" w:hAnsi="Calibri" w:cs="Calibri"/>
                <w:b/>
                <w:bCs/>
                <w:color w:val="FFFFFF"/>
                <w:sz w:val="18"/>
                <w:szCs w:val="18"/>
              </w:rPr>
            </w:pPr>
            <w:r w:rsidRPr="006B6311">
              <w:rPr>
                <w:rFonts w:ascii="Calibri" w:eastAsia="Times New Roman" w:hAnsi="Calibri" w:cs="Calibri"/>
                <w:b/>
                <w:bCs/>
                <w:color w:val="FFFFFF"/>
                <w:sz w:val="18"/>
                <w:szCs w:val="18"/>
              </w:rPr>
              <w:t>Indicator name</w:t>
            </w:r>
          </w:p>
        </w:tc>
        <w:tc>
          <w:tcPr>
            <w:tcW w:w="2233" w:type="pct"/>
            <w:gridSpan w:val="2"/>
            <w:shd w:val="clear" w:color="auto" w:fill="A3BBD5"/>
            <w:vAlign w:val="center"/>
            <w:hideMark/>
          </w:tcPr>
          <w:p w:rsidR="00F35CAF" w:rsidRPr="006B6311" w:rsidRDefault="00F35CAF" w:rsidP="00F35CAF">
            <w:pPr>
              <w:spacing w:after="0" w:line="240" w:lineRule="auto"/>
              <w:rPr>
                <w:rFonts w:ascii="Calibri" w:eastAsia="Times New Roman" w:hAnsi="Calibri" w:cs="Calibri"/>
                <w:b/>
                <w:bCs/>
                <w:color w:val="FFFFFF"/>
                <w:sz w:val="18"/>
                <w:szCs w:val="18"/>
              </w:rPr>
            </w:pPr>
            <w:r w:rsidRPr="006B6311">
              <w:rPr>
                <w:rFonts w:ascii="Calibri" w:eastAsia="Times New Roman" w:hAnsi="Calibri" w:cs="Calibri"/>
                <w:b/>
                <w:bCs/>
                <w:color w:val="FFFFFF"/>
                <w:sz w:val="18"/>
                <w:szCs w:val="18"/>
              </w:rPr>
              <w:t xml:space="preserve">Definition </w:t>
            </w:r>
          </w:p>
        </w:tc>
        <w:tc>
          <w:tcPr>
            <w:tcW w:w="1585" w:type="pct"/>
            <w:gridSpan w:val="2"/>
            <w:shd w:val="clear" w:color="auto" w:fill="A3BBD5"/>
            <w:tcMar>
              <w:left w:w="0" w:type="dxa"/>
              <w:right w:w="0" w:type="dxa"/>
            </w:tcMar>
            <w:vAlign w:val="center"/>
            <w:hideMark/>
          </w:tcPr>
          <w:p w:rsidR="00F35CAF" w:rsidRPr="00B93B50" w:rsidRDefault="00F35CAF" w:rsidP="00F35CAF">
            <w:pPr>
              <w:spacing w:after="0" w:line="240" w:lineRule="auto"/>
              <w:jc w:val="center"/>
              <w:rPr>
                <w:rFonts w:ascii="Calibri" w:eastAsia="Times New Roman" w:hAnsi="Calibri" w:cs="Calibri"/>
                <w:b/>
                <w:bCs/>
                <w:i/>
                <w:iCs/>
                <w:color w:val="FFFFFF"/>
                <w:sz w:val="18"/>
                <w:szCs w:val="18"/>
              </w:rPr>
            </w:pPr>
            <w:r>
              <w:rPr>
                <w:rFonts w:ascii="Calibri" w:eastAsia="Times New Roman" w:hAnsi="Calibri" w:cs="Calibri"/>
                <w:b/>
                <w:bCs/>
                <w:color w:val="FFFFFF"/>
                <w:sz w:val="18"/>
                <w:szCs w:val="18"/>
              </w:rPr>
              <w:t>Disaggregation/</w:t>
            </w:r>
            <w:r w:rsidRPr="00B93B50">
              <w:rPr>
                <w:rFonts w:ascii="Calibri" w:eastAsia="Times New Roman" w:hAnsi="Calibri" w:cs="Calibri"/>
                <w:b/>
                <w:bCs/>
                <w:i/>
                <w:iCs/>
                <w:color w:val="FFFFFF"/>
                <w:sz w:val="18"/>
                <w:szCs w:val="18"/>
              </w:rPr>
              <w:t>additional dimensions</w:t>
            </w:r>
          </w:p>
          <w:p w:rsidR="00F35CAF" w:rsidRPr="006B6311" w:rsidRDefault="00F35CAF" w:rsidP="00F35CAF">
            <w:pPr>
              <w:spacing w:after="0" w:line="240" w:lineRule="auto"/>
              <w:rPr>
                <w:rFonts w:ascii="Calibri" w:eastAsia="Times New Roman" w:hAnsi="Calibri" w:cs="Calibri"/>
                <w:b/>
                <w:bCs/>
                <w:color w:val="FFFFFF"/>
                <w:sz w:val="18"/>
                <w:szCs w:val="18"/>
              </w:rPr>
            </w:pPr>
          </w:p>
        </w:tc>
      </w:tr>
      <w:tr w:rsidR="00F35CAF" w:rsidRPr="003D4FAC" w:rsidTr="00F35CAF">
        <w:trPr>
          <w:cantSplit/>
          <w:trHeight w:val="264"/>
        </w:trPr>
        <w:tc>
          <w:tcPr>
            <w:tcW w:w="1146" w:type="pct"/>
            <w:gridSpan w:val="2"/>
            <w:shd w:val="clear" w:color="auto" w:fill="auto"/>
          </w:tcPr>
          <w:p w:rsidR="00F35CAF" w:rsidRPr="006B7894" w:rsidRDefault="00F35CAF" w:rsidP="00F35CAF">
            <w:pPr>
              <w:spacing w:after="0" w:line="240" w:lineRule="auto"/>
              <w:rPr>
                <w:rFonts w:ascii="Calibri" w:eastAsia="Times New Roman" w:hAnsi="Calibri" w:cs="Calibri"/>
                <w:color w:val="FF0000"/>
                <w:sz w:val="16"/>
                <w:szCs w:val="16"/>
              </w:rPr>
            </w:pPr>
            <w:r w:rsidRPr="006B7894">
              <w:rPr>
                <w:rFonts w:ascii="Calibri" w:eastAsia="Times New Roman" w:hAnsi="Calibri" w:cs="Calibri"/>
                <w:color w:val="FF0000"/>
                <w:sz w:val="16"/>
                <w:szCs w:val="16"/>
              </w:rPr>
              <w:t>Opioid agonist pharmacotherapy used for the treatment of opioid dependence (maintenance)</w:t>
            </w:r>
          </w:p>
        </w:tc>
        <w:tc>
          <w:tcPr>
            <w:tcW w:w="2254" w:type="pct"/>
            <w:gridSpan w:val="2"/>
            <w:shd w:val="clear" w:color="auto" w:fill="auto"/>
          </w:tcPr>
          <w:p w:rsidR="00F35CAF" w:rsidRPr="006B7894" w:rsidRDefault="00F35CAF" w:rsidP="00F35CAF">
            <w:pPr>
              <w:spacing w:after="0" w:line="240" w:lineRule="auto"/>
              <w:rPr>
                <w:rFonts w:ascii="Calibri" w:eastAsia="Times New Roman" w:hAnsi="Calibri" w:cs="Calibri"/>
                <w:color w:val="FF0000"/>
                <w:sz w:val="16"/>
                <w:szCs w:val="16"/>
              </w:rPr>
            </w:pPr>
            <w:r w:rsidRPr="006B7894">
              <w:rPr>
                <w:rFonts w:ascii="Calibri" w:eastAsia="Times New Roman" w:hAnsi="Calibri" w:cs="Calibri"/>
                <w:color w:val="FF0000"/>
                <w:sz w:val="16"/>
                <w:szCs w:val="16"/>
              </w:rPr>
              <w:t xml:space="preserve">Availability of opioid agonist pharmacotherapy (such as with methadone, buprenorphine or buprenorphine/naloxone) for maintenance treatment of opioid dependence. </w:t>
            </w:r>
          </w:p>
        </w:tc>
        <w:tc>
          <w:tcPr>
            <w:tcW w:w="1600" w:type="pct"/>
            <w:gridSpan w:val="2"/>
            <w:shd w:val="clear" w:color="auto" w:fill="auto"/>
          </w:tcPr>
          <w:p w:rsidR="00F35CAF" w:rsidRPr="006B7894" w:rsidRDefault="00F35CAF" w:rsidP="00F35CAF">
            <w:pPr>
              <w:spacing w:after="0" w:line="240" w:lineRule="auto"/>
              <w:rPr>
                <w:rFonts w:ascii="Calibri" w:eastAsia="Times New Roman" w:hAnsi="Calibri" w:cs="Calibri"/>
                <w:color w:val="FF0000"/>
                <w:sz w:val="16"/>
                <w:szCs w:val="16"/>
              </w:rPr>
            </w:pPr>
          </w:p>
        </w:tc>
      </w:tr>
    </w:tbl>
    <w:p w:rsidR="00F35CAF" w:rsidRDefault="00F35CAF" w:rsidP="00F35CAF"/>
    <w:p w:rsidR="00F35CAF" w:rsidRDefault="00F35CAF" w:rsidP="00F35CAF">
      <w:r>
        <w:br w:type="page"/>
      </w:r>
    </w:p>
    <w:p w:rsidR="006B7894" w:rsidRPr="00277801" w:rsidRDefault="006B7894" w:rsidP="006B7894">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5</w:t>
      </w:r>
      <w:r w:rsidRPr="00277801">
        <w:rPr>
          <w:color w:val="FFFFFF" w:themeColor="background1"/>
        </w:rPr>
        <w:t xml:space="preserve">: </w:t>
      </w:r>
      <w:r>
        <w:rPr>
          <w:color w:val="FFFFFF" w:themeColor="background1"/>
        </w:rPr>
        <w:tab/>
      </w:r>
      <w:r w:rsidRPr="006B7894">
        <w:rPr>
          <w:color w:val="FFFFFF" w:themeColor="background1"/>
        </w:rPr>
        <w:t>Strengthen the prevention and treatment of substance abuse, including narcotic drug abuse and harmful use of alcohol</w:t>
      </w:r>
    </w:p>
    <w:p w:rsidR="00F35CAF" w:rsidRDefault="006B7894" w:rsidP="00F35CAF">
      <w:pPr>
        <w:pStyle w:val="Tablesub-heading"/>
      </w:pPr>
      <w:r>
        <w:t>Indicator 3.5.2:</w:t>
      </w:r>
      <w:r>
        <w:tab/>
      </w:r>
      <w:r w:rsidR="00F35CAF" w:rsidRPr="00F35CAF">
        <w:t>Coverage of interventions for the prevention of substance abuse interventions among people under 25</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423023" w:rsidRPr="00DE0966" w:rsidTr="00405F21">
        <w:trPr>
          <w:trHeight w:val="117"/>
        </w:trPr>
        <w:tc>
          <w:tcPr>
            <w:tcW w:w="2042" w:type="dxa"/>
            <w:tcBorders>
              <w:top w:val="single" w:sz="4" w:space="0" w:color="A3BBD5"/>
              <w:bottom w:val="nil"/>
            </w:tcBorders>
            <w:shd w:val="clear" w:color="000000" w:fill="E6F0FA"/>
            <w:hideMark/>
          </w:tcPr>
          <w:p w:rsidR="00423023" w:rsidRPr="00D64C60" w:rsidRDefault="00423023" w:rsidP="006B7894">
            <w:pPr>
              <w:spacing w:after="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423023" w:rsidRPr="005E7236" w:rsidRDefault="00423023" w:rsidP="006B7894">
            <w:pPr>
              <w:pStyle w:val="IndicatorName"/>
              <w:framePr w:hSpace="0" w:wrap="auto" w:vAnchor="margin" w:hAnchor="text" w:yAlign="inline"/>
              <w:spacing w:beforeLines="0" w:before="0" w:after="0"/>
            </w:pPr>
            <w:bookmarkStart w:id="14" w:name="_Toc418774250"/>
            <w:r w:rsidRPr="00F22279">
              <w:t>Total alcohol per capita (age 15+ years) consumption</w:t>
            </w:r>
            <w:bookmarkEnd w:id="14"/>
          </w:p>
        </w:tc>
      </w:tr>
      <w:tr w:rsidR="00423023" w:rsidRPr="00DE0966" w:rsidTr="00405F21">
        <w:trPr>
          <w:trHeight w:val="35"/>
        </w:trPr>
        <w:tc>
          <w:tcPr>
            <w:tcW w:w="2042" w:type="dxa"/>
            <w:tcBorders>
              <w:top w:val="nil"/>
              <w:bottom w:val="nil"/>
            </w:tcBorders>
            <w:shd w:val="clear" w:color="000000" w:fill="E6F0FA"/>
            <w:hideMark/>
          </w:tcPr>
          <w:p w:rsidR="00423023" w:rsidRPr="00D64C60" w:rsidRDefault="00423023" w:rsidP="006B7894">
            <w:pPr>
              <w:spacing w:after="0"/>
              <w:rPr>
                <w:rFonts w:eastAsia="Times New Roman" w:cstheme="minorHAnsi"/>
                <w:color w:val="003366"/>
                <w:sz w:val="16"/>
                <w:szCs w:val="16"/>
              </w:rPr>
            </w:pPr>
            <w:r w:rsidRPr="00D64C60">
              <w:rPr>
                <w:rFonts w:eastAsia="Times New Roman" w:cstheme="minorHAnsi"/>
                <w:color w:val="003366"/>
                <w:sz w:val="16"/>
                <w:szCs w:val="16"/>
              </w:rPr>
              <w:t>Indicator name</w:t>
            </w:r>
          </w:p>
        </w:tc>
        <w:tc>
          <w:tcPr>
            <w:tcW w:w="7654" w:type="dxa"/>
            <w:shd w:val="clear" w:color="auto" w:fill="auto"/>
          </w:tcPr>
          <w:p w:rsidR="00423023" w:rsidRPr="005E7236" w:rsidRDefault="00423023" w:rsidP="006B7894">
            <w:pPr>
              <w:pStyle w:val="IndicatorText"/>
              <w:framePr w:hSpace="0" w:wrap="auto" w:vAnchor="margin" w:hAnchor="text" w:yAlign="inline"/>
              <w:spacing w:before="0" w:after="0"/>
            </w:pPr>
            <w:r w:rsidRPr="00F22279">
              <w:t xml:space="preserve">Total alcohol per capita (age 15+ years) consumption </w:t>
            </w:r>
          </w:p>
        </w:tc>
      </w:tr>
      <w:tr w:rsidR="00423023" w:rsidRPr="00DE0966" w:rsidTr="00405F21">
        <w:trPr>
          <w:trHeight w:val="23"/>
        </w:trPr>
        <w:tc>
          <w:tcPr>
            <w:tcW w:w="2042" w:type="dxa"/>
            <w:tcBorders>
              <w:top w:val="nil"/>
              <w:bottom w:val="nil"/>
            </w:tcBorders>
            <w:shd w:val="clear" w:color="000000" w:fill="E6F0FA"/>
          </w:tcPr>
          <w:p w:rsidR="00423023" w:rsidRPr="00D64C60" w:rsidRDefault="00423023" w:rsidP="006B7894">
            <w:pPr>
              <w:spacing w:after="0"/>
              <w:rPr>
                <w:rFonts w:eastAsia="Times New Roman" w:cstheme="minorHAnsi"/>
                <w:color w:val="003366"/>
                <w:sz w:val="16"/>
                <w:szCs w:val="16"/>
              </w:rPr>
            </w:pPr>
            <w:r w:rsidRPr="00D64C60">
              <w:rPr>
                <w:rFonts w:eastAsia="Times New Roman" w:cstheme="minorHAnsi"/>
                <w:color w:val="003366"/>
                <w:sz w:val="16"/>
                <w:szCs w:val="16"/>
              </w:rPr>
              <w:t>Domain</w:t>
            </w:r>
          </w:p>
        </w:tc>
        <w:tc>
          <w:tcPr>
            <w:tcW w:w="7654" w:type="dxa"/>
            <w:shd w:val="clear" w:color="auto" w:fill="auto"/>
          </w:tcPr>
          <w:p w:rsidR="00423023" w:rsidRDefault="00423023" w:rsidP="006B7894">
            <w:pPr>
              <w:pStyle w:val="IndicatorText"/>
              <w:framePr w:hSpace="0" w:wrap="auto" w:vAnchor="margin" w:hAnchor="text" w:yAlign="inline"/>
              <w:spacing w:before="0" w:after="0"/>
            </w:pPr>
            <w:r>
              <w:t>Risk factors</w:t>
            </w:r>
          </w:p>
        </w:tc>
      </w:tr>
      <w:tr w:rsidR="00423023" w:rsidRPr="00DE0966" w:rsidTr="00405F21">
        <w:trPr>
          <w:trHeight w:val="23"/>
        </w:trPr>
        <w:tc>
          <w:tcPr>
            <w:tcW w:w="2042" w:type="dxa"/>
            <w:tcBorders>
              <w:top w:val="nil"/>
              <w:bottom w:val="nil"/>
            </w:tcBorders>
            <w:shd w:val="clear" w:color="000000" w:fill="E6F0FA"/>
          </w:tcPr>
          <w:p w:rsidR="00423023" w:rsidRPr="00D64C60" w:rsidRDefault="00423023" w:rsidP="006B7894">
            <w:pPr>
              <w:spacing w:after="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423023" w:rsidRDefault="00423023" w:rsidP="006B7894">
            <w:pPr>
              <w:pStyle w:val="IndicatorText"/>
              <w:framePr w:hSpace="0" w:wrap="auto" w:vAnchor="margin" w:hAnchor="text" w:yAlign="inline"/>
              <w:spacing w:before="0" w:after="0"/>
            </w:pPr>
            <w:r>
              <w:t>NCDs and nutrition</w:t>
            </w:r>
          </w:p>
        </w:tc>
      </w:tr>
      <w:tr w:rsidR="00423023" w:rsidRPr="00DE0966" w:rsidTr="00405F21">
        <w:trPr>
          <w:trHeight w:val="23"/>
        </w:trPr>
        <w:tc>
          <w:tcPr>
            <w:tcW w:w="2042" w:type="dxa"/>
            <w:tcBorders>
              <w:top w:val="nil"/>
              <w:bottom w:val="nil"/>
            </w:tcBorders>
            <w:shd w:val="clear" w:color="000000" w:fill="E6F0FA"/>
          </w:tcPr>
          <w:p w:rsidR="00423023" w:rsidRPr="00D64C60" w:rsidRDefault="00423023" w:rsidP="006B7894">
            <w:pPr>
              <w:spacing w:after="0"/>
              <w:rPr>
                <w:rFonts w:eastAsia="Times New Roman" w:cstheme="minorHAnsi"/>
                <w:color w:val="003366"/>
                <w:sz w:val="16"/>
                <w:szCs w:val="16"/>
              </w:rPr>
            </w:pPr>
            <w:r w:rsidRPr="00D64C60">
              <w:rPr>
                <w:rFonts w:eastAsia="Times New Roman" w:cstheme="minorHAnsi"/>
                <w:color w:val="003366"/>
                <w:sz w:val="16"/>
                <w:szCs w:val="16"/>
              </w:rPr>
              <w:t>Associated terms</w:t>
            </w:r>
          </w:p>
        </w:tc>
        <w:tc>
          <w:tcPr>
            <w:tcW w:w="7654" w:type="dxa"/>
            <w:shd w:val="clear" w:color="auto" w:fill="auto"/>
          </w:tcPr>
          <w:p w:rsidR="00423023" w:rsidRDefault="00423023" w:rsidP="006B7894">
            <w:pPr>
              <w:pStyle w:val="IndicatorText"/>
              <w:framePr w:hSpace="0" w:wrap="auto" w:vAnchor="margin" w:hAnchor="text" w:yAlign="inline"/>
              <w:spacing w:before="0" w:after="0"/>
            </w:pPr>
            <w:r>
              <w:t>Noncommunicable diseases</w:t>
            </w:r>
          </w:p>
        </w:tc>
      </w:tr>
      <w:tr w:rsidR="00423023" w:rsidRPr="00DE0966" w:rsidTr="00405F21">
        <w:trPr>
          <w:trHeight w:val="23"/>
        </w:trPr>
        <w:tc>
          <w:tcPr>
            <w:tcW w:w="2042" w:type="dxa"/>
            <w:tcBorders>
              <w:top w:val="nil"/>
              <w:bottom w:val="nil"/>
            </w:tcBorders>
            <w:shd w:val="clear" w:color="000000" w:fill="E6F0FA"/>
          </w:tcPr>
          <w:p w:rsidR="00423023" w:rsidRPr="00D64C60" w:rsidRDefault="00423023" w:rsidP="00405F21">
            <w:pPr>
              <w:spacing w:after="0"/>
              <w:rPr>
                <w:rFonts w:eastAsia="Times New Roman" w:cstheme="minorHAnsi"/>
                <w:color w:val="003366"/>
                <w:sz w:val="16"/>
                <w:szCs w:val="16"/>
              </w:rPr>
            </w:pPr>
            <w:r w:rsidRPr="00D64C60">
              <w:rPr>
                <w:rFonts w:eastAsia="Times New Roman" w:cstheme="minorHAnsi"/>
                <w:color w:val="003366"/>
                <w:sz w:val="16"/>
                <w:szCs w:val="16"/>
              </w:rPr>
              <w:t>Definition</w:t>
            </w:r>
          </w:p>
        </w:tc>
        <w:tc>
          <w:tcPr>
            <w:tcW w:w="7654" w:type="dxa"/>
            <w:shd w:val="clear" w:color="auto" w:fill="auto"/>
          </w:tcPr>
          <w:p w:rsidR="00423023" w:rsidRDefault="00423023" w:rsidP="00405F21">
            <w:pPr>
              <w:pStyle w:val="IndicatorText"/>
              <w:framePr w:hSpace="0" w:wrap="auto" w:vAnchor="margin" w:hAnchor="text" w:yAlign="inline"/>
              <w:spacing w:before="0" w:after="0"/>
            </w:pPr>
            <w:r>
              <w:t>Total alcohol per capita is the total amount (sum of recorded</w:t>
            </w:r>
            <w:r w:rsidRPr="003A7DCD">
              <w:rPr>
                <w:rFonts w:eastAsiaTheme="minorEastAsia" w:cstheme="minorBidi"/>
                <w:color w:val="auto"/>
                <w:sz w:val="22"/>
                <w:szCs w:val="22"/>
                <w:lang w:eastAsia="zh-CN"/>
              </w:rPr>
              <w:t xml:space="preserve"> </w:t>
            </w:r>
            <w:r>
              <w:t xml:space="preserve">alcohol per capita three-year average and unrecorded </w:t>
            </w:r>
            <w:r w:rsidRPr="003A7DCD">
              <w:t>alcohol per capita</w:t>
            </w:r>
            <w:r>
              <w:t xml:space="preserve">) of alcohol consumed per adult (15+ years) in a calendar year, in litres of pure alcohol. Recorded alcohol consumption refers to official statistics (production, import, export, and sales or taxation data), while unrecorded alcohol consumption refers to alcohol which is not taxed and is outside the usual system of government control. In circumstances in which the number of tourists per year is at least the number of inhabitants, tourist consumption is also taken into account and is deducted from a country's recorded </w:t>
            </w:r>
            <w:r w:rsidRPr="003A7DCD">
              <w:t>alcohol per capita</w:t>
            </w:r>
            <w:r>
              <w:t>.</w:t>
            </w:r>
          </w:p>
        </w:tc>
      </w:tr>
      <w:tr w:rsidR="00423023" w:rsidRPr="00DE0966" w:rsidTr="00405F21">
        <w:trPr>
          <w:trHeight w:val="23"/>
        </w:trPr>
        <w:tc>
          <w:tcPr>
            <w:tcW w:w="2042" w:type="dxa"/>
            <w:tcBorders>
              <w:top w:val="nil"/>
              <w:bottom w:val="nil"/>
            </w:tcBorders>
            <w:shd w:val="clear" w:color="000000" w:fill="E6F0FA"/>
          </w:tcPr>
          <w:p w:rsidR="00423023" w:rsidRPr="00D64C60" w:rsidRDefault="00423023" w:rsidP="00405F21">
            <w:pPr>
              <w:spacing w:after="0"/>
              <w:rPr>
                <w:rFonts w:eastAsia="Times New Roman" w:cstheme="minorHAnsi"/>
                <w:color w:val="003366"/>
                <w:sz w:val="16"/>
                <w:szCs w:val="16"/>
              </w:rPr>
            </w:pPr>
            <w:r w:rsidRPr="00D64C60">
              <w:rPr>
                <w:rFonts w:eastAsia="Times New Roman" w:cstheme="minorHAnsi"/>
                <w:color w:val="003366"/>
                <w:sz w:val="16"/>
                <w:szCs w:val="16"/>
              </w:rPr>
              <w:t>Numerator</w:t>
            </w:r>
          </w:p>
        </w:tc>
        <w:tc>
          <w:tcPr>
            <w:tcW w:w="7654" w:type="dxa"/>
            <w:shd w:val="clear" w:color="auto" w:fill="auto"/>
          </w:tcPr>
          <w:p w:rsidR="00423023" w:rsidRPr="00D90A3B" w:rsidRDefault="00423023" w:rsidP="00405F21">
            <w:pPr>
              <w:pStyle w:val="IndicatorText"/>
              <w:framePr w:hSpace="0" w:wrap="auto" w:vAnchor="margin" w:hAnchor="text" w:yAlign="inline"/>
              <w:spacing w:before="0" w:after="0"/>
              <w:rPr>
                <w:color w:val="auto"/>
              </w:rPr>
            </w:pPr>
            <w:r w:rsidRPr="00D90A3B">
              <w:rPr>
                <w:color w:val="auto"/>
              </w:rPr>
              <w:t>Sum of recorded and unrecorded alcohol consumed in a population during a calendar year, in litres.</w:t>
            </w:r>
          </w:p>
        </w:tc>
      </w:tr>
      <w:tr w:rsidR="00423023" w:rsidRPr="00DE0966" w:rsidTr="00405F21">
        <w:trPr>
          <w:trHeight w:val="62"/>
        </w:trPr>
        <w:tc>
          <w:tcPr>
            <w:tcW w:w="2042" w:type="dxa"/>
            <w:tcBorders>
              <w:top w:val="nil"/>
              <w:bottom w:val="nil"/>
            </w:tcBorders>
            <w:shd w:val="clear" w:color="000000" w:fill="E6F0FA"/>
          </w:tcPr>
          <w:p w:rsidR="00423023" w:rsidRPr="00D64C60" w:rsidRDefault="00423023" w:rsidP="00405F21">
            <w:pPr>
              <w:spacing w:after="0"/>
              <w:rPr>
                <w:rFonts w:eastAsia="Times New Roman" w:cstheme="minorHAnsi"/>
                <w:color w:val="003366"/>
                <w:sz w:val="16"/>
                <w:szCs w:val="16"/>
              </w:rPr>
            </w:pPr>
            <w:r w:rsidRPr="00D64C60">
              <w:rPr>
                <w:rFonts w:eastAsia="Times New Roman" w:cstheme="minorHAnsi"/>
                <w:color w:val="003366"/>
                <w:sz w:val="16"/>
                <w:szCs w:val="16"/>
              </w:rPr>
              <w:t>Denominator</w:t>
            </w:r>
          </w:p>
        </w:tc>
        <w:tc>
          <w:tcPr>
            <w:tcW w:w="7654" w:type="dxa"/>
            <w:shd w:val="clear" w:color="auto" w:fill="auto"/>
          </w:tcPr>
          <w:p w:rsidR="00423023" w:rsidRPr="00D90A3B" w:rsidRDefault="00423023" w:rsidP="00405F21">
            <w:pPr>
              <w:pStyle w:val="IndicatorText"/>
              <w:framePr w:hSpace="0" w:wrap="auto" w:vAnchor="margin" w:hAnchor="text" w:yAlign="inline"/>
              <w:spacing w:before="0" w:after="0"/>
              <w:rPr>
                <w:color w:val="auto"/>
              </w:rPr>
            </w:pPr>
            <w:r w:rsidRPr="00D90A3B">
              <w:rPr>
                <w:color w:val="auto"/>
              </w:rPr>
              <w:t>Mid</w:t>
            </w:r>
            <w:r>
              <w:rPr>
                <w:color w:val="auto"/>
              </w:rPr>
              <w:t>-</w:t>
            </w:r>
            <w:r w:rsidRPr="00D90A3B">
              <w:rPr>
                <w:color w:val="auto"/>
              </w:rPr>
              <w:t>year resident population aged 15+ for the same calendar year.</w:t>
            </w:r>
          </w:p>
        </w:tc>
      </w:tr>
      <w:tr w:rsidR="00423023" w:rsidRPr="00DE0966" w:rsidTr="00405F21">
        <w:trPr>
          <w:trHeight w:val="268"/>
        </w:trPr>
        <w:tc>
          <w:tcPr>
            <w:tcW w:w="2042" w:type="dxa"/>
            <w:tcBorders>
              <w:top w:val="nil"/>
              <w:bottom w:val="nil"/>
            </w:tcBorders>
            <w:shd w:val="clear" w:color="000000" w:fill="E6F0FA"/>
          </w:tcPr>
          <w:p w:rsidR="00423023" w:rsidRPr="00D64C60" w:rsidRDefault="00423023" w:rsidP="00405F21">
            <w:pPr>
              <w:spacing w:after="0"/>
              <w:rPr>
                <w:rFonts w:eastAsia="Times New Roman" w:cstheme="minorHAnsi"/>
                <w:color w:val="003366"/>
                <w:sz w:val="16"/>
                <w:szCs w:val="16"/>
              </w:rPr>
            </w:pPr>
            <w:r w:rsidRPr="00D64C60">
              <w:rPr>
                <w:rFonts w:eastAsia="Times New Roman" w:cstheme="minorHAnsi"/>
                <w:color w:val="003366"/>
                <w:sz w:val="16"/>
                <w:szCs w:val="16"/>
              </w:rPr>
              <w:t>Disaggregation/</w:t>
            </w:r>
            <w:r w:rsidRPr="00D64C60">
              <w:rPr>
                <w:rFonts w:eastAsia="Times New Roman" w:cstheme="minorHAnsi"/>
                <w:color w:val="003366"/>
                <w:sz w:val="16"/>
                <w:szCs w:val="16"/>
              </w:rPr>
              <w:br/>
              <w:t>additional dimension</w:t>
            </w:r>
          </w:p>
        </w:tc>
        <w:tc>
          <w:tcPr>
            <w:tcW w:w="7654" w:type="dxa"/>
            <w:shd w:val="clear" w:color="auto" w:fill="auto"/>
          </w:tcPr>
          <w:p w:rsidR="00423023" w:rsidRPr="00D90A3B" w:rsidRDefault="00423023" w:rsidP="00405F21">
            <w:pPr>
              <w:pStyle w:val="IndicatorText"/>
              <w:framePr w:hSpace="0" w:wrap="auto" w:vAnchor="margin" w:hAnchor="text" w:yAlign="inline"/>
              <w:spacing w:before="0" w:after="0"/>
              <w:rPr>
                <w:color w:val="auto"/>
              </w:rPr>
            </w:pPr>
            <w:r w:rsidRPr="00D90A3B">
              <w:rPr>
                <w:color w:val="auto"/>
              </w:rPr>
              <w:t xml:space="preserve">Age, </w:t>
            </w:r>
            <w:r>
              <w:rPr>
                <w:color w:val="auto"/>
              </w:rPr>
              <w:t>s</w:t>
            </w:r>
            <w:r w:rsidRPr="00D90A3B">
              <w:rPr>
                <w:color w:val="auto"/>
              </w:rPr>
              <w:t xml:space="preserve">ex, other relevant </w:t>
            </w:r>
            <w:proofErr w:type="spellStart"/>
            <w:r w:rsidRPr="00D90A3B">
              <w:rPr>
                <w:color w:val="auto"/>
              </w:rPr>
              <w:t>sociodemographic</w:t>
            </w:r>
            <w:proofErr w:type="spellEnd"/>
            <w:r w:rsidRPr="00D90A3B">
              <w:rPr>
                <w:color w:val="auto"/>
              </w:rPr>
              <w:t xml:space="preserve"> </w:t>
            </w:r>
            <w:proofErr w:type="spellStart"/>
            <w:r w:rsidRPr="00D90A3B">
              <w:rPr>
                <w:color w:val="auto"/>
              </w:rPr>
              <w:t>stratifiers</w:t>
            </w:r>
            <w:proofErr w:type="spellEnd"/>
            <w:r w:rsidRPr="00D90A3B">
              <w:rPr>
                <w:color w:val="auto"/>
              </w:rPr>
              <w:t xml:space="preserve"> where available</w:t>
            </w:r>
          </w:p>
        </w:tc>
      </w:tr>
      <w:tr w:rsidR="00423023" w:rsidRPr="00DE0966" w:rsidTr="00405F21">
        <w:trPr>
          <w:trHeight w:val="122"/>
        </w:trPr>
        <w:tc>
          <w:tcPr>
            <w:tcW w:w="2042" w:type="dxa"/>
            <w:tcBorders>
              <w:top w:val="nil"/>
              <w:bottom w:val="nil"/>
            </w:tcBorders>
            <w:shd w:val="clear" w:color="000000" w:fill="E6F0FA"/>
          </w:tcPr>
          <w:p w:rsidR="00423023" w:rsidRPr="00D64C60" w:rsidRDefault="00423023" w:rsidP="00405F21">
            <w:pPr>
              <w:spacing w:before="60" w:after="60"/>
              <w:rPr>
                <w:rFonts w:eastAsia="Times New Roman" w:cstheme="minorHAnsi"/>
                <w:color w:val="003366"/>
                <w:sz w:val="16"/>
                <w:szCs w:val="16"/>
              </w:rPr>
            </w:pPr>
            <w:r w:rsidRPr="00D64C60">
              <w:rPr>
                <w:rFonts w:eastAsia="Times New Roman" w:cstheme="minorHAnsi"/>
                <w:color w:val="003366"/>
                <w:sz w:val="16"/>
                <w:szCs w:val="16"/>
              </w:rPr>
              <w:t>Method of measurement</w:t>
            </w:r>
          </w:p>
        </w:tc>
        <w:tc>
          <w:tcPr>
            <w:tcW w:w="7654" w:type="dxa"/>
            <w:shd w:val="clear" w:color="auto" w:fill="auto"/>
          </w:tcPr>
          <w:p w:rsidR="00423023" w:rsidRDefault="00423023" w:rsidP="00405F21">
            <w:pPr>
              <w:pStyle w:val="IndicatorText"/>
              <w:framePr w:hSpace="0" w:wrap="auto" w:vAnchor="margin" w:hAnchor="text" w:yAlign="inline"/>
              <w:spacing w:before="60" w:after="60"/>
              <w:rPr>
                <w:color w:val="auto"/>
              </w:rPr>
            </w:pPr>
            <w:r w:rsidRPr="00810621">
              <w:rPr>
                <w:color w:val="auto"/>
                <w:u w:val="single"/>
              </w:rPr>
              <w:t>Recorded consumption</w:t>
            </w:r>
            <w:r>
              <w:rPr>
                <w:color w:val="auto"/>
              </w:rPr>
              <w:t xml:space="preserve">: </w:t>
            </w:r>
            <w:r w:rsidRPr="00810621">
              <w:rPr>
                <w:color w:val="auto"/>
              </w:rPr>
              <w:t>Recorded alcohol per capita (15+</w:t>
            </w:r>
            <w:r>
              <w:rPr>
                <w:color w:val="auto"/>
              </w:rPr>
              <w:t xml:space="preserve"> years</w:t>
            </w:r>
            <w:r w:rsidRPr="00810621">
              <w:rPr>
                <w:color w:val="auto"/>
              </w:rPr>
              <w:t>) consumption of pure alcohol is calculated as</w:t>
            </w:r>
            <w:r>
              <w:rPr>
                <w:color w:val="auto"/>
              </w:rPr>
              <w:t xml:space="preserve"> </w:t>
            </w:r>
            <w:r w:rsidRPr="00810621">
              <w:rPr>
                <w:color w:val="auto"/>
              </w:rPr>
              <w:t>the sum of beverage-specific alcohol consumption of pure alcohol (beer, wine,</w:t>
            </w:r>
            <w:r>
              <w:rPr>
                <w:color w:val="auto"/>
              </w:rPr>
              <w:t xml:space="preserve"> </w:t>
            </w:r>
            <w:r w:rsidRPr="00810621">
              <w:rPr>
                <w:color w:val="auto"/>
              </w:rPr>
              <w:t>spirits, other) from different sources. The first priority in the decision tree is</w:t>
            </w:r>
            <w:r>
              <w:rPr>
                <w:color w:val="auto"/>
              </w:rPr>
              <w:t xml:space="preserve"> </w:t>
            </w:r>
            <w:r w:rsidRPr="00810621">
              <w:rPr>
                <w:color w:val="auto"/>
              </w:rPr>
              <w:t>given to government statistics</w:t>
            </w:r>
            <w:r>
              <w:rPr>
                <w:color w:val="auto"/>
              </w:rPr>
              <w:t>,</w:t>
            </w:r>
            <w:r w:rsidRPr="00810621">
              <w:rPr>
                <w:color w:val="auto"/>
              </w:rPr>
              <w:t xml:space="preserve"> </w:t>
            </w:r>
            <w:r>
              <w:rPr>
                <w:color w:val="auto"/>
              </w:rPr>
              <w:t xml:space="preserve">the </w:t>
            </w:r>
            <w:r w:rsidRPr="00810621">
              <w:rPr>
                <w:color w:val="auto"/>
              </w:rPr>
              <w:t>second are country-specific alcohol industry</w:t>
            </w:r>
            <w:r>
              <w:rPr>
                <w:color w:val="auto"/>
              </w:rPr>
              <w:t xml:space="preserve"> </w:t>
            </w:r>
            <w:r w:rsidRPr="00810621">
              <w:rPr>
                <w:color w:val="auto"/>
              </w:rPr>
              <w:t>statistics in the public domain (Canad</w:t>
            </w:r>
            <w:r>
              <w:rPr>
                <w:color w:val="auto"/>
              </w:rPr>
              <w:t>i</w:t>
            </w:r>
            <w:r w:rsidRPr="00810621">
              <w:rPr>
                <w:color w:val="auto"/>
              </w:rPr>
              <w:t>an, IWSR-International Wine and Spirit</w:t>
            </w:r>
            <w:r>
              <w:rPr>
                <w:color w:val="auto"/>
              </w:rPr>
              <w:t xml:space="preserve"> </w:t>
            </w:r>
            <w:r w:rsidRPr="00810621">
              <w:rPr>
                <w:color w:val="auto"/>
              </w:rPr>
              <w:t>Research, OIV-International Organisation of Vine and Wine, Wine Institute,</w:t>
            </w:r>
            <w:r>
              <w:rPr>
                <w:color w:val="auto"/>
              </w:rPr>
              <w:t xml:space="preserve"> </w:t>
            </w:r>
            <w:r w:rsidRPr="00810621">
              <w:rPr>
                <w:color w:val="auto"/>
              </w:rPr>
              <w:t>historically World Drink Trends)</w:t>
            </w:r>
            <w:r>
              <w:rPr>
                <w:color w:val="auto"/>
              </w:rPr>
              <w:t>,</w:t>
            </w:r>
            <w:r w:rsidRPr="00810621">
              <w:rPr>
                <w:color w:val="auto"/>
              </w:rPr>
              <w:t xml:space="preserve"> and third is the Food and Agriculture</w:t>
            </w:r>
            <w:r>
              <w:rPr>
                <w:color w:val="auto"/>
              </w:rPr>
              <w:t xml:space="preserve"> </w:t>
            </w:r>
            <w:r w:rsidRPr="00810621">
              <w:rPr>
                <w:color w:val="auto"/>
              </w:rPr>
              <w:t>Organization of the United Nations' statistical database (FAOSTAT). For</w:t>
            </w:r>
            <w:r>
              <w:rPr>
                <w:color w:val="auto"/>
              </w:rPr>
              <w:t xml:space="preserve"> </w:t>
            </w:r>
            <w:r w:rsidRPr="00810621">
              <w:rPr>
                <w:color w:val="auto"/>
              </w:rPr>
              <w:t>countries where the data source is FAOSTAT</w:t>
            </w:r>
            <w:r>
              <w:rPr>
                <w:color w:val="auto"/>
              </w:rPr>
              <w:t>,</w:t>
            </w:r>
            <w:r w:rsidRPr="00810621">
              <w:rPr>
                <w:color w:val="auto"/>
              </w:rPr>
              <w:t xml:space="preserve"> unrecorded consumption may</w:t>
            </w:r>
            <w:r>
              <w:rPr>
                <w:color w:val="auto"/>
              </w:rPr>
              <w:t xml:space="preserve"> </w:t>
            </w:r>
            <w:r w:rsidRPr="00810621">
              <w:rPr>
                <w:color w:val="auto"/>
              </w:rPr>
              <w:t>be included in the recorded consumption.</w:t>
            </w:r>
          </w:p>
          <w:p w:rsidR="00423023" w:rsidRPr="00810621" w:rsidRDefault="00423023" w:rsidP="00405F21">
            <w:pPr>
              <w:pStyle w:val="IndicatorText"/>
              <w:framePr w:hSpace="0" w:wrap="auto" w:vAnchor="margin" w:hAnchor="text" w:yAlign="inline"/>
              <w:spacing w:before="60" w:after="60"/>
              <w:rPr>
                <w:color w:val="auto"/>
                <w:u w:val="single"/>
              </w:rPr>
            </w:pPr>
            <w:r>
              <w:rPr>
                <w:color w:val="auto"/>
                <w:u w:val="single"/>
              </w:rPr>
              <w:t>Unrecorded consumption</w:t>
            </w:r>
            <w:r w:rsidRPr="003A7DCD">
              <w:rPr>
                <w:color w:val="auto"/>
              </w:rPr>
              <w:t xml:space="preserve">: </w:t>
            </w:r>
            <w:r w:rsidRPr="00810621">
              <w:rPr>
                <w:color w:val="auto"/>
              </w:rPr>
              <w:t>The first priority in the decision tree is given to nationally representative</w:t>
            </w:r>
            <w:r>
              <w:rPr>
                <w:color w:val="auto"/>
              </w:rPr>
              <w:t xml:space="preserve"> </w:t>
            </w:r>
            <w:r w:rsidRPr="00810621">
              <w:rPr>
                <w:color w:val="auto"/>
              </w:rPr>
              <w:t>empirical data</w:t>
            </w:r>
            <w:r>
              <w:rPr>
                <w:color w:val="auto"/>
              </w:rPr>
              <w:t xml:space="preserve">, </w:t>
            </w:r>
            <w:r w:rsidRPr="00810621">
              <w:rPr>
                <w:color w:val="auto"/>
              </w:rPr>
              <w:t xml:space="preserve">often </w:t>
            </w:r>
            <w:r>
              <w:rPr>
                <w:color w:val="auto"/>
              </w:rPr>
              <w:t xml:space="preserve">from </w:t>
            </w:r>
            <w:r w:rsidRPr="00810621">
              <w:rPr>
                <w:color w:val="auto"/>
              </w:rPr>
              <w:t>general population surveys in countries where</w:t>
            </w:r>
            <w:r>
              <w:rPr>
                <w:color w:val="auto"/>
              </w:rPr>
              <w:t xml:space="preserve"> </w:t>
            </w:r>
            <w:r w:rsidRPr="00810621">
              <w:rPr>
                <w:color w:val="auto"/>
              </w:rPr>
              <w:t xml:space="preserve">alcohol is legal. </w:t>
            </w:r>
            <w:r>
              <w:rPr>
                <w:color w:val="auto"/>
              </w:rPr>
              <w:t>The s</w:t>
            </w:r>
            <w:r w:rsidRPr="00810621">
              <w:rPr>
                <w:color w:val="auto"/>
              </w:rPr>
              <w:t xml:space="preserve">econd </w:t>
            </w:r>
            <w:r>
              <w:rPr>
                <w:color w:val="auto"/>
              </w:rPr>
              <w:t>priority are</w:t>
            </w:r>
            <w:r w:rsidRPr="00810621">
              <w:rPr>
                <w:color w:val="auto"/>
              </w:rPr>
              <w:t xml:space="preserve"> specific other empirical investigations, </w:t>
            </w:r>
            <w:r>
              <w:rPr>
                <w:color w:val="auto"/>
              </w:rPr>
              <w:t>while</w:t>
            </w:r>
            <w:r w:rsidRPr="00810621">
              <w:rPr>
                <w:color w:val="auto"/>
              </w:rPr>
              <w:t xml:space="preserve"> </w:t>
            </w:r>
            <w:r>
              <w:rPr>
                <w:color w:val="auto"/>
              </w:rPr>
              <w:t xml:space="preserve">the </w:t>
            </w:r>
            <w:r w:rsidRPr="00810621">
              <w:rPr>
                <w:color w:val="auto"/>
              </w:rPr>
              <w:t>third is</w:t>
            </w:r>
            <w:r>
              <w:rPr>
                <w:color w:val="auto"/>
              </w:rPr>
              <w:t xml:space="preserve"> </w:t>
            </w:r>
            <w:r w:rsidRPr="00810621">
              <w:rPr>
                <w:color w:val="auto"/>
              </w:rPr>
              <w:t>expert opinion.</w:t>
            </w:r>
          </w:p>
        </w:tc>
      </w:tr>
      <w:tr w:rsidR="00423023" w:rsidRPr="00DE0966" w:rsidTr="00405F21">
        <w:trPr>
          <w:trHeight w:val="160"/>
        </w:trPr>
        <w:tc>
          <w:tcPr>
            <w:tcW w:w="2042" w:type="dxa"/>
            <w:tcBorders>
              <w:top w:val="nil"/>
              <w:bottom w:val="nil"/>
            </w:tcBorders>
            <w:shd w:val="clear" w:color="000000" w:fill="E6F0FA"/>
          </w:tcPr>
          <w:p w:rsidR="00423023" w:rsidRPr="00D64C60" w:rsidRDefault="00423023" w:rsidP="00405F21">
            <w:pPr>
              <w:spacing w:after="0"/>
              <w:rPr>
                <w:rFonts w:eastAsia="Times New Roman" w:cstheme="minorHAnsi"/>
                <w:color w:val="003366"/>
                <w:sz w:val="16"/>
                <w:szCs w:val="16"/>
              </w:rPr>
            </w:pPr>
            <w:r w:rsidRPr="00D64C60">
              <w:rPr>
                <w:rFonts w:eastAsia="Times New Roman" w:cstheme="minorHAnsi"/>
                <w:color w:val="003366"/>
                <w:sz w:val="16"/>
                <w:szCs w:val="16"/>
              </w:rPr>
              <w:t>Method of estimation</w:t>
            </w:r>
          </w:p>
        </w:tc>
        <w:tc>
          <w:tcPr>
            <w:tcW w:w="7654" w:type="dxa"/>
            <w:shd w:val="clear" w:color="auto" w:fill="auto"/>
          </w:tcPr>
          <w:p w:rsidR="00423023" w:rsidRPr="00D90A3B" w:rsidRDefault="00423023" w:rsidP="00405F21">
            <w:pPr>
              <w:pStyle w:val="IndicatorText"/>
              <w:framePr w:hSpace="0" w:wrap="auto" w:vAnchor="margin" w:hAnchor="text" w:yAlign="inline"/>
              <w:spacing w:before="0" w:after="0"/>
              <w:rPr>
                <w:color w:val="auto"/>
              </w:rPr>
            </w:pPr>
            <w:r w:rsidRPr="00D90A3B">
              <w:rPr>
                <w:color w:val="auto"/>
              </w:rPr>
              <w:t>Sum of recorded and unrecorded alcohol consumed in a po</w:t>
            </w:r>
            <w:r>
              <w:rPr>
                <w:color w:val="auto"/>
              </w:rPr>
              <w:t>pulation during a calendar year.</w:t>
            </w:r>
          </w:p>
        </w:tc>
      </w:tr>
      <w:tr w:rsidR="00423023" w:rsidRPr="00DE0966" w:rsidTr="00405F21">
        <w:trPr>
          <w:trHeight w:val="224"/>
        </w:trPr>
        <w:tc>
          <w:tcPr>
            <w:tcW w:w="2042" w:type="dxa"/>
            <w:tcBorders>
              <w:top w:val="nil"/>
              <w:bottom w:val="nil"/>
            </w:tcBorders>
            <w:shd w:val="clear" w:color="000000" w:fill="E6F0FA"/>
          </w:tcPr>
          <w:p w:rsidR="00423023" w:rsidRPr="00D64C60" w:rsidRDefault="00423023" w:rsidP="00405F21">
            <w:pPr>
              <w:spacing w:after="0"/>
              <w:rPr>
                <w:rFonts w:eastAsia="Times New Roman" w:cstheme="minorHAnsi"/>
                <w:color w:val="003366"/>
                <w:sz w:val="16"/>
                <w:szCs w:val="16"/>
              </w:rPr>
            </w:pPr>
            <w:r w:rsidRPr="00D64C60">
              <w:rPr>
                <w:rFonts w:eastAsia="Times New Roman" w:cstheme="minorHAnsi"/>
                <w:color w:val="003366"/>
                <w:sz w:val="16"/>
                <w:szCs w:val="16"/>
              </w:rPr>
              <w:t>Measurement frequency</w:t>
            </w:r>
          </w:p>
        </w:tc>
        <w:tc>
          <w:tcPr>
            <w:tcW w:w="7654" w:type="dxa"/>
            <w:shd w:val="clear" w:color="auto" w:fill="auto"/>
          </w:tcPr>
          <w:p w:rsidR="00423023" w:rsidRPr="005E7236" w:rsidRDefault="00423023" w:rsidP="00405F21">
            <w:pPr>
              <w:pStyle w:val="IndicatorText"/>
              <w:framePr w:hSpace="0" w:wrap="auto" w:vAnchor="margin" w:hAnchor="text" w:yAlign="inline"/>
              <w:spacing w:before="0" w:after="0"/>
            </w:pPr>
            <w:r>
              <w:rPr>
                <w:color w:val="auto"/>
              </w:rPr>
              <w:t>Annual</w:t>
            </w:r>
          </w:p>
        </w:tc>
      </w:tr>
      <w:tr w:rsidR="00423023" w:rsidRPr="00DE0966" w:rsidTr="00405F21">
        <w:trPr>
          <w:trHeight w:val="159"/>
        </w:trPr>
        <w:tc>
          <w:tcPr>
            <w:tcW w:w="2042" w:type="dxa"/>
            <w:tcBorders>
              <w:top w:val="nil"/>
              <w:bottom w:val="nil"/>
            </w:tcBorders>
            <w:shd w:val="clear" w:color="000000" w:fill="E6F0FA"/>
          </w:tcPr>
          <w:p w:rsidR="00423023" w:rsidRPr="00D64C60" w:rsidRDefault="00423023" w:rsidP="00405F21">
            <w:pPr>
              <w:spacing w:after="0"/>
              <w:rPr>
                <w:rFonts w:eastAsia="Times New Roman" w:cstheme="minorHAnsi"/>
                <w:color w:val="003366"/>
                <w:sz w:val="16"/>
                <w:szCs w:val="16"/>
              </w:rPr>
            </w:pPr>
            <w:r w:rsidRPr="003634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D64C60">
              <w:rPr>
                <w:rFonts w:eastAsia="Times New Roman" w:cstheme="minorHAnsi"/>
                <w:color w:val="003366"/>
                <w:sz w:val="16"/>
                <w:szCs w:val="16"/>
              </w:rPr>
              <w:t>framework</w:t>
            </w:r>
          </w:p>
        </w:tc>
        <w:tc>
          <w:tcPr>
            <w:tcW w:w="7654" w:type="dxa"/>
            <w:shd w:val="clear" w:color="auto" w:fill="auto"/>
          </w:tcPr>
          <w:p w:rsidR="00423023" w:rsidRPr="005E7236" w:rsidRDefault="00423023" w:rsidP="00405F21">
            <w:pPr>
              <w:pStyle w:val="IndicatorText"/>
              <w:framePr w:hSpace="0" w:wrap="auto" w:vAnchor="margin" w:hAnchor="text" w:yAlign="inline"/>
              <w:spacing w:before="0" w:after="0"/>
            </w:pPr>
            <w:r w:rsidRPr="00F22279">
              <w:t>Outcome</w:t>
            </w:r>
          </w:p>
        </w:tc>
      </w:tr>
      <w:tr w:rsidR="00423023" w:rsidRPr="00DE0966" w:rsidTr="00405F21">
        <w:trPr>
          <w:trHeight w:val="82"/>
        </w:trPr>
        <w:tc>
          <w:tcPr>
            <w:tcW w:w="2042" w:type="dxa"/>
            <w:tcBorders>
              <w:top w:val="nil"/>
              <w:bottom w:val="nil"/>
            </w:tcBorders>
            <w:shd w:val="clear" w:color="000000" w:fill="E6F0FA"/>
          </w:tcPr>
          <w:p w:rsidR="00423023" w:rsidRPr="00D64C60" w:rsidRDefault="00423023" w:rsidP="00405F21">
            <w:pPr>
              <w:spacing w:before="60" w:after="60"/>
              <w:rPr>
                <w:rFonts w:eastAsia="Times New Roman" w:cstheme="minorHAnsi"/>
                <w:color w:val="003366"/>
                <w:sz w:val="16"/>
                <w:szCs w:val="16"/>
              </w:rPr>
            </w:pPr>
            <w:r w:rsidRPr="00D64C60">
              <w:rPr>
                <w:rFonts w:eastAsia="Times New Roman" w:cstheme="minorHAnsi"/>
                <w:color w:val="003366"/>
                <w:sz w:val="16"/>
                <w:szCs w:val="16"/>
              </w:rPr>
              <w:t>Preferred data sources</w:t>
            </w:r>
          </w:p>
        </w:tc>
        <w:tc>
          <w:tcPr>
            <w:tcW w:w="7654" w:type="dxa"/>
            <w:shd w:val="clear" w:color="auto" w:fill="auto"/>
          </w:tcPr>
          <w:p w:rsidR="00423023" w:rsidRPr="00D90A3B" w:rsidRDefault="00423023" w:rsidP="00405F21">
            <w:pPr>
              <w:pStyle w:val="IndicatorText"/>
              <w:framePr w:hSpace="0" w:wrap="auto" w:vAnchor="margin" w:hAnchor="text" w:yAlign="inline"/>
              <w:spacing w:before="60" w:after="60"/>
              <w:rPr>
                <w:color w:val="auto"/>
              </w:rPr>
            </w:pPr>
            <w:r w:rsidRPr="00D90A3B">
              <w:rPr>
                <w:color w:val="auto"/>
              </w:rPr>
              <w:t>Administrative reporting systems for recorded</w:t>
            </w:r>
            <w:r>
              <w:t xml:space="preserve"> </w:t>
            </w:r>
            <w:r w:rsidRPr="00D861C6">
              <w:rPr>
                <w:color w:val="auto"/>
              </w:rPr>
              <w:t>alcohol per capita</w:t>
            </w:r>
            <w:r>
              <w:rPr>
                <w:color w:val="auto"/>
              </w:rPr>
              <w:t>,</w:t>
            </w:r>
            <w:r w:rsidRPr="00D90A3B">
              <w:rPr>
                <w:color w:val="auto"/>
              </w:rPr>
              <w:t xml:space="preserve"> and survey data for unrecorded</w:t>
            </w:r>
            <w:r w:rsidRPr="00D861C6">
              <w:rPr>
                <w:rFonts w:eastAsiaTheme="minorEastAsia" w:cstheme="minorBidi"/>
                <w:color w:val="auto"/>
                <w:sz w:val="22"/>
                <w:szCs w:val="22"/>
                <w:lang w:eastAsia="zh-CN"/>
              </w:rPr>
              <w:t xml:space="preserve"> </w:t>
            </w:r>
            <w:r>
              <w:rPr>
                <w:color w:val="auto"/>
              </w:rPr>
              <w:t>alcohol per capita</w:t>
            </w:r>
            <w:r w:rsidRPr="00D90A3B">
              <w:rPr>
                <w:color w:val="auto"/>
              </w:rPr>
              <w:t>.</w:t>
            </w:r>
            <w:r>
              <w:rPr>
                <w:color w:val="auto"/>
              </w:rPr>
              <w:t xml:space="preserve"> </w:t>
            </w:r>
            <w:r w:rsidRPr="00D90A3B">
              <w:rPr>
                <w:color w:val="auto"/>
              </w:rPr>
              <w:t>The priority of data sources for recorded alcohol per capita consumption should be given to government statistics on sales of alcoholic beverages during a calendar year or data on production, export and import of alcohol in different beverage categories. For countries where government</w:t>
            </w:r>
            <w:r>
              <w:rPr>
                <w:color w:val="auto"/>
              </w:rPr>
              <w:t xml:space="preserve"> </w:t>
            </w:r>
            <w:r w:rsidRPr="00D90A3B">
              <w:rPr>
                <w:color w:val="auto"/>
              </w:rPr>
              <w:t xml:space="preserve">data </w:t>
            </w:r>
            <w:r>
              <w:rPr>
                <w:color w:val="auto"/>
              </w:rPr>
              <w:t xml:space="preserve">on </w:t>
            </w:r>
            <w:r w:rsidRPr="00D90A3B">
              <w:rPr>
                <w:color w:val="auto"/>
              </w:rPr>
              <w:t xml:space="preserve">sales or production </w:t>
            </w:r>
            <w:r>
              <w:rPr>
                <w:color w:val="auto"/>
              </w:rPr>
              <w:t>are</w:t>
            </w:r>
            <w:r w:rsidRPr="00D90A3B">
              <w:rPr>
                <w:color w:val="auto"/>
              </w:rPr>
              <w:t xml:space="preserve"> not available, the preferred data source would be country</w:t>
            </w:r>
            <w:r>
              <w:rPr>
                <w:color w:val="auto"/>
              </w:rPr>
              <w:t>-</w:t>
            </w:r>
            <w:r w:rsidRPr="00D90A3B">
              <w:rPr>
                <w:color w:val="auto"/>
              </w:rPr>
              <w:t>specific and publicly available data from the private sector, including alcohol producers</w:t>
            </w:r>
            <w:r>
              <w:rPr>
                <w:color w:val="auto"/>
              </w:rPr>
              <w:t xml:space="preserve">, </w:t>
            </w:r>
            <w:r w:rsidRPr="00D90A3B">
              <w:rPr>
                <w:color w:val="auto"/>
              </w:rPr>
              <w:t>or country</w:t>
            </w:r>
            <w:r>
              <w:rPr>
                <w:color w:val="auto"/>
              </w:rPr>
              <w:t>-</w:t>
            </w:r>
            <w:r w:rsidRPr="00D90A3B">
              <w:rPr>
                <w:color w:val="auto"/>
              </w:rPr>
              <w:t>specific data from FAOSTAT which may also include estimates of unrecorded alcohol consumption. For main categories of alcohol</w:t>
            </w:r>
            <w:r>
              <w:rPr>
                <w:color w:val="auto"/>
              </w:rPr>
              <w:t>ic</w:t>
            </w:r>
            <w:r w:rsidRPr="00D90A3B">
              <w:rPr>
                <w:color w:val="auto"/>
              </w:rPr>
              <w:t xml:space="preserve"> beverages</w:t>
            </w:r>
            <w:r>
              <w:rPr>
                <w:color w:val="auto"/>
              </w:rPr>
              <w:t>,</w:t>
            </w:r>
            <w:r w:rsidRPr="00D90A3B">
              <w:rPr>
                <w:color w:val="auto"/>
              </w:rPr>
              <w:t xml:space="preserve"> “</w:t>
            </w:r>
            <w:r>
              <w:rPr>
                <w:color w:val="auto"/>
              </w:rPr>
              <w:t>b</w:t>
            </w:r>
            <w:r w:rsidRPr="00D90A3B">
              <w:rPr>
                <w:color w:val="auto"/>
              </w:rPr>
              <w:t>eer” includes malt beers, “</w:t>
            </w:r>
            <w:r>
              <w:rPr>
                <w:color w:val="auto"/>
              </w:rPr>
              <w:t>w</w:t>
            </w:r>
            <w:r w:rsidRPr="00D90A3B">
              <w:rPr>
                <w:color w:val="auto"/>
              </w:rPr>
              <w:t>ine”</w:t>
            </w:r>
            <w:r>
              <w:rPr>
                <w:color w:val="auto"/>
              </w:rPr>
              <w:t xml:space="preserve"> </w:t>
            </w:r>
            <w:r w:rsidRPr="00D90A3B">
              <w:rPr>
                <w:color w:val="auto"/>
              </w:rPr>
              <w:t>includes wine made from grapes, “</w:t>
            </w:r>
            <w:r>
              <w:rPr>
                <w:color w:val="auto"/>
              </w:rPr>
              <w:t>s</w:t>
            </w:r>
            <w:r w:rsidRPr="00D90A3B">
              <w:rPr>
                <w:color w:val="auto"/>
              </w:rPr>
              <w:t>pirits” include all distilled beverages, and “</w:t>
            </w:r>
            <w:r>
              <w:rPr>
                <w:color w:val="auto"/>
              </w:rPr>
              <w:t>o</w:t>
            </w:r>
            <w:r w:rsidRPr="00D90A3B">
              <w:rPr>
                <w:color w:val="auto"/>
              </w:rPr>
              <w:t xml:space="preserve">ther” includes one or several other alcoholic beverages </w:t>
            </w:r>
            <w:r>
              <w:rPr>
                <w:color w:val="auto"/>
              </w:rPr>
              <w:t xml:space="preserve">– such </w:t>
            </w:r>
            <w:r w:rsidRPr="00D90A3B">
              <w:rPr>
                <w:color w:val="auto"/>
              </w:rPr>
              <w:t>as fermented beverages made from sorghum, maize, millet, rice, or cider, fruit wine, fortified wine</w:t>
            </w:r>
            <w:r>
              <w:rPr>
                <w:color w:val="auto"/>
              </w:rPr>
              <w:t>,</w:t>
            </w:r>
            <w:r w:rsidRPr="00D90A3B">
              <w:rPr>
                <w:color w:val="auto"/>
              </w:rPr>
              <w:t xml:space="preserve"> etc. Data sources for unrecorded alcohol consumption include survey data, FAOSTAT data, other data sources such as customs or police data, and expert opinion.</w:t>
            </w:r>
          </w:p>
        </w:tc>
      </w:tr>
      <w:tr w:rsidR="00423023" w:rsidRPr="00DE0966" w:rsidTr="00405F21">
        <w:trPr>
          <w:trHeight w:val="160"/>
        </w:trPr>
        <w:tc>
          <w:tcPr>
            <w:tcW w:w="2042" w:type="dxa"/>
            <w:tcBorders>
              <w:top w:val="nil"/>
              <w:bottom w:val="nil"/>
            </w:tcBorders>
            <w:shd w:val="clear" w:color="000000" w:fill="E6F0FA"/>
          </w:tcPr>
          <w:p w:rsidR="00423023" w:rsidRPr="00D64C60" w:rsidRDefault="00423023" w:rsidP="00405F21">
            <w:pPr>
              <w:spacing w:before="60" w:after="60"/>
              <w:rPr>
                <w:rFonts w:eastAsia="Times New Roman" w:cstheme="minorHAnsi"/>
                <w:color w:val="003366"/>
                <w:sz w:val="16"/>
                <w:szCs w:val="16"/>
              </w:rPr>
            </w:pPr>
            <w:r w:rsidRPr="00D64C60">
              <w:rPr>
                <w:rFonts w:eastAsia="Times New Roman" w:cstheme="minorHAnsi"/>
                <w:color w:val="003366"/>
                <w:sz w:val="16"/>
                <w:szCs w:val="16"/>
              </w:rPr>
              <w:t>Other possible data sources</w:t>
            </w:r>
          </w:p>
        </w:tc>
        <w:tc>
          <w:tcPr>
            <w:tcW w:w="7654" w:type="dxa"/>
            <w:tcBorders>
              <w:bottom w:val="nil"/>
            </w:tcBorders>
            <w:shd w:val="clear" w:color="auto" w:fill="auto"/>
          </w:tcPr>
          <w:p w:rsidR="00423023" w:rsidRPr="00D64C60" w:rsidRDefault="00423023" w:rsidP="00405F21">
            <w:pPr>
              <w:pStyle w:val="IndicatorText"/>
              <w:framePr w:hSpace="0" w:wrap="auto" w:vAnchor="margin" w:hAnchor="text" w:yAlign="inline"/>
              <w:spacing w:before="60" w:after="60"/>
              <w:rPr>
                <w:color w:val="009900"/>
              </w:rPr>
            </w:pPr>
            <w:r w:rsidRPr="00810621">
              <w:rPr>
                <w:color w:val="auto"/>
              </w:rPr>
              <w:t>Data sets of FAO and U</w:t>
            </w:r>
            <w:r>
              <w:rPr>
                <w:color w:val="auto"/>
              </w:rPr>
              <w:t xml:space="preserve">nited </w:t>
            </w:r>
            <w:r w:rsidRPr="00810621">
              <w:rPr>
                <w:color w:val="auto"/>
              </w:rPr>
              <w:t>N</w:t>
            </w:r>
            <w:r>
              <w:rPr>
                <w:color w:val="auto"/>
              </w:rPr>
              <w:t>ations</w:t>
            </w:r>
            <w:r w:rsidRPr="00810621">
              <w:rPr>
                <w:color w:val="auto"/>
              </w:rPr>
              <w:t xml:space="preserve"> Statisti</w:t>
            </w:r>
            <w:r>
              <w:rPr>
                <w:color w:val="auto"/>
              </w:rPr>
              <w:t>cs Division</w:t>
            </w:r>
          </w:p>
        </w:tc>
      </w:tr>
      <w:tr w:rsidR="00423023" w:rsidRPr="00DE0966" w:rsidTr="00405F21">
        <w:trPr>
          <w:trHeight w:val="160"/>
        </w:trPr>
        <w:tc>
          <w:tcPr>
            <w:tcW w:w="2042" w:type="dxa"/>
            <w:tcBorders>
              <w:top w:val="nil"/>
              <w:bottom w:val="single" w:sz="4" w:space="0" w:color="A3BBD5"/>
            </w:tcBorders>
            <w:shd w:val="clear" w:color="000000" w:fill="E6F0FA"/>
          </w:tcPr>
          <w:p w:rsidR="00423023" w:rsidRPr="00D64C60" w:rsidRDefault="00423023" w:rsidP="00405F21">
            <w:pPr>
              <w:spacing w:before="60" w:after="6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tcBorders>
              <w:top w:val="nil"/>
              <w:bottom w:val="single" w:sz="4" w:space="0" w:color="A3BBD5"/>
            </w:tcBorders>
            <w:shd w:val="clear" w:color="auto" w:fill="auto"/>
          </w:tcPr>
          <w:p w:rsidR="00423023" w:rsidRDefault="00423023" w:rsidP="00405F21">
            <w:pPr>
              <w:pStyle w:val="IndicatorText"/>
              <w:framePr w:hSpace="0" w:wrap="auto" w:vAnchor="margin" w:hAnchor="text" w:yAlign="inline"/>
              <w:spacing w:before="60" w:after="60"/>
              <w:rPr>
                <w:color w:val="auto"/>
              </w:rPr>
            </w:pPr>
            <w:r w:rsidRPr="003F38AB">
              <w:rPr>
                <w:color w:val="auto"/>
              </w:rPr>
              <w:t>Draft comprehensive global monitoring framework and targets for the prevention and control of noncommunicable diseases, including a set of indicators. Agenda item A66/8, Sixty-sixth World Health Assembly, 20–28 May 2013. Geneva: World Health Organization; 2013 (http://apps.who.int/gb/ebwha/pdf_files/WHA66/A66_8-en.pdf?ua=1, accessed 29 March 2015).</w:t>
            </w:r>
          </w:p>
          <w:p w:rsidR="00423023" w:rsidRPr="00810621" w:rsidRDefault="00423023" w:rsidP="00405F21">
            <w:pPr>
              <w:pStyle w:val="IndicatorText"/>
              <w:framePr w:hSpace="0" w:wrap="auto" w:vAnchor="margin" w:hAnchor="text" w:yAlign="inline"/>
              <w:spacing w:before="60" w:after="60"/>
              <w:rPr>
                <w:color w:val="auto"/>
              </w:rPr>
            </w:pPr>
            <w:r w:rsidRPr="00470B96">
              <w:rPr>
                <w:color w:val="auto"/>
                <w:lang w:val="en-US"/>
              </w:rPr>
              <w:t>Global health risks: mortality and burden of disease attributable to selected major risks. Geneva: World Health Organization; 2009 (</w:t>
            </w:r>
            <w:r w:rsidRPr="0056160E">
              <w:rPr>
                <w:lang w:val="en-US"/>
              </w:rPr>
              <w:t>http://www.who.int/healthinfo/global_burden_disease/GlobalHealthRisks_report_full.pdf</w:t>
            </w:r>
            <w:r w:rsidRPr="00470B96">
              <w:rPr>
                <w:color w:val="auto"/>
                <w:lang w:val="en-US"/>
              </w:rPr>
              <w:t>, accessed 29 March 2015).</w:t>
            </w:r>
          </w:p>
          <w:p w:rsidR="00423023" w:rsidRPr="00810621" w:rsidRDefault="00423023" w:rsidP="00405F21">
            <w:pPr>
              <w:pStyle w:val="IndicatorText"/>
              <w:framePr w:hSpace="0" w:wrap="auto" w:vAnchor="margin" w:hAnchor="text" w:yAlign="inline"/>
              <w:spacing w:before="60" w:after="60"/>
              <w:rPr>
                <w:color w:val="auto"/>
              </w:rPr>
            </w:pPr>
            <w:r w:rsidRPr="00470B96">
              <w:rPr>
                <w:color w:val="auto"/>
                <w:lang w:val="en-US"/>
              </w:rPr>
              <w:t>Global strategy to reduce the harmful use of alcohol. Geneva: World Health Organization; 2010 (</w:t>
            </w:r>
            <w:r w:rsidRPr="0056160E">
              <w:rPr>
                <w:lang w:val="en-US"/>
              </w:rPr>
              <w:t>http://www.who.int/substance_abuse/alcstratenglishfinal.pdf?ua=1</w:t>
            </w:r>
            <w:r w:rsidRPr="00470B96">
              <w:rPr>
                <w:color w:val="auto"/>
                <w:lang w:val="en-US"/>
              </w:rPr>
              <w:t>, accessed 29 March 2015).</w:t>
            </w:r>
          </w:p>
          <w:p w:rsidR="00423023" w:rsidRDefault="00423023" w:rsidP="006B7894">
            <w:pPr>
              <w:pStyle w:val="IndicatorText"/>
              <w:framePr w:hSpace="0" w:wrap="auto" w:vAnchor="margin" w:hAnchor="text" w:yAlign="inline"/>
              <w:spacing w:before="60" w:after="60"/>
            </w:pPr>
            <w:r w:rsidRPr="00470B96">
              <w:rPr>
                <w:color w:val="auto"/>
                <w:lang w:val="en-US"/>
              </w:rPr>
              <w:t>Rehm J, Baliunas D, Borges GL, Graham K, Irving H, Kehoe T et al. The relation between different dimensions of alcohol consumption and burden of disease - an overview. Addiction. 2010;105(5):817</w:t>
            </w:r>
            <w:r w:rsidRPr="00470B96">
              <w:rPr>
                <w:color w:val="auto"/>
                <w:lang w:val="en-US"/>
              </w:rPr>
              <w:sym w:font="Symbol" w:char="F02D"/>
            </w:r>
            <w:r w:rsidRPr="00470B96">
              <w:rPr>
                <w:color w:val="auto"/>
                <w:lang w:val="en-US"/>
              </w:rPr>
              <w:t>43.</w:t>
            </w:r>
          </w:p>
        </w:tc>
      </w:tr>
    </w:tbl>
    <w:p w:rsidR="00423023" w:rsidRPr="00423023" w:rsidRDefault="00423023" w:rsidP="00423023">
      <w:pPr>
        <w:spacing w:after="0"/>
      </w:pPr>
    </w:p>
    <w:p w:rsidR="006B7894" w:rsidRPr="00277801" w:rsidRDefault="006B7894" w:rsidP="006B7894">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6</w:t>
      </w:r>
      <w:r w:rsidRPr="00277801">
        <w:rPr>
          <w:color w:val="FFFFFF" w:themeColor="background1"/>
        </w:rPr>
        <w:t xml:space="preserve">: </w:t>
      </w:r>
      <w:r>
        <w:rPr>
          <w:color w:val="FFFFFF" w:themeColor="background1"/>
        </w:rPr>
        <w:tab/>
      </w:r>
      <w:r w:rsidRPr="006B7894">
        <w:rPr>
          <w:color w:val="FFFFFF" w:themeColor="background1"/>
        </w:rPr>
        <w:t>By 2020, halve the number of global deaths and injuries from road traffic accidents</w:t>
      </w:r>
    </w:p>
    <w:p w:rsidR="00F35CAF" w:rsidRDefault="00F35CAF" w:rsidP="006B7894">
      <w:pPr>
        <w:pStyle w:val="Tablesub-heading"/>
      </w:pPr>
      <w:r>
        <w:t>Indicator 3.6.1</w:t>
      </w:r>
      <w:r w:rsidR="006B7894">
        <w:t>:</w:t>
      </w:r>
      <w:r w:rsidR="006B7894">
        <w:tab/>
      </w:r>
      <w:r w:rsidRPr="00F35CAF">
        <w:t>Number of deaths due to road traffic accidents</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F35CAF" w:rsidRPr="00DE0966" w:rsidTr="00F35CAF">
        <w:trPr>
          <w:trHeight w:val="117"/>
        </w:trPr>
        <w:tc>
          <w:tcPr>
            <w:tcW w:w="2042" w:type="dxa"/>
            <w:tcBorders>
              <w:top w:val="single" w:sz="4" w:space="0" w:color="A3BBD5"/>
              <w:bottom w:val="nil"/>
            </w:tcBorders>
            <w:shd w:val="clear" w:color="000000" w:fill="E6F0FA"/>
            <w:hideMark/>
          </w:tcPr>
          <w:p w:rsidR="00F35CAF" w:rsidRPr="00DE01FD"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F35CAF" w:rsidRPr="004F0EE6" w:rsidRDefault="00F35CAF" w:rsidP="00F35CAF">
            <w:pPr>
              <w:pStyle w:val="IndicatorName"/>
              <w:framePr w:hSpace="0" w:wrap="auto" w:vAnchor="margin" w:hAnchor="text" w:yAlign="inline"/>
              <w:rPr>
                <w:rStyle w:val="Emphasis"/>
                <w:b/>
                <w:bCs/>
              </w:rPr>
            </w:pPr>
            <w:bookmarkStart w:id="15" w:name="_Toc418774224"/>
            <w:r w:rsidRPr="004F0EE6">
              <w:t>Mortality rate from road traffic injuries</w:t>
            </w:r>
            <w:bookmarkEnd w:id="15"/>
          </w:p>
        </w:tc>
      </w:tr>
      <w:tr w:rsidR="00F35CAF" w:rsidRPr="00DE0966" w:rsidTr="00F35CAF">
        <w:trPr>
          <w:trHeight w:val="35"/>
        </w:trPr>
        <w:tc>
          <w:tcPr>
            <w:tcW w:w="2042" w:type="dxa"/>
            <w:tcBorders>
              <w:top w:val="nil"/>
              <w:bottom w:val="nil"/>
            </w:tcBorders>
            <w:shd w:val="clear" w:color="000000" w:fill="E6F0FA"/>
            <w:hideMark/>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Indicator name</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t>Mortality rate from road traffic injuries (per 100 000 population)</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Domain</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t>Health status</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t xml:space="preserve">Injury and </w:t>
            </w:r>
            <w:r>
              <w:t>v</w:t>
            </w:r>
            <w:r w:rsidRPr="00972EE8">
              <w:t>iolence</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Associated terms</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t>Mortality by cause</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Definition</w:t>
            </w:r>
          </w:p>
        </w:tc>
        <w:tc>
          <w:tcPr>
            <w:tcW w:w="7654" w:type="dxa"/>
            <w:shd w:val="clear" w:color="auto" w:fill="auto"/>
          </w:tcPr>
          <w:p w:rsidR="00F35CAF" w:rsidRPr="00896913" w:rsidRDefault="00F35CAF" w:rsidP="00F35CAF">
            <w:pPr>
              <w:pStyle w:val="IndicatorText"/>
              <w:framePr w:hSpace="0" w:wrap="auto" w:vAnchor="margin" w:hAnchor="text" w:yAlign="inline"/>
            </w:pPr>
            <w:r w:rsidRPr="00896913">
              <w:t>Number of road traffic fatal injury deaths per 100 000 population (age-standardized).</w:t>
            </w:r>
          </w:p>
        </w:tc>
      </w:tr>
      <w:tr w:rsidR="00F35CAF" w:rsidRPr="00DE0966" w:rsidTr="00F35CAF">
        <w:trPr>
          <w:trHeight w:val="23"/>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Numerator</w:t>
            </w:r>
          </w:p>
        </w:tc>
        <w:tc>
          <w:tcPr>
            <w:tcW w:w="7654" w:type="dxa"/>
            <w:shd w:val="clear" w:color="auto" w:fill="auto"/>
          </w:tcPr>
          <w:p w:rsidR="00F35CAF" w:rsidRPr="00896913" w:rsidRDefault="00F35CAF" w:rsidP="00F35CAF">
            <w:pPr>
              <w:pStyle w:val="IndicatorText"/>
              <w:framePr w:hSpace="0" w:wrap="auto" w:vAnchor="margin" w:hAnchor="text" w:yAlign="inline"/>
            </w:pPr>
            <w:r w:rsidRPr="00896913">
              <w:t>Number of deaths due to road traffic crashes</w:t>
            </w:r>
            <w:r>
              <w:t>.</w:t>
            </w:r>
          </w:p>
        </w:tc>
      </w:tr>
      <w:tr w:rsidR="00F35CAF" w:rsidRPr="00DE0966" w:rsidTr="00F35CAF">
        <w:trPr>
          <w:trHeight w:val="62"/>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Denominator</w:t>
            </w:r>
          </w:p>
        </w:tc>
        <w:tc>
          <w:tcPr>
            <w:tcW w:w="7654" w:type="dxa"/>
            <w:shd w:val="clear" w:color="auto" w:fill="auto"/>
          </w:tcPr>
          <w:p w:rsidR="00F35CAF" w:rsidRPr="00896913" w:rsidRDefault="00F35CAF" w:rsidP="00F35CAF">
            <w:pPr>
              <w:pStyle w:val="IndicatorText"/>
              <w:framePr w:hSpace="0" w:wrap="auto" w:vAnchor="margin" w:hAnchor="text" w:yAlign="inline"/>
            </w:pPr>
            <w:r w:rsidRPr="00896913">
              <w:t>Population</w:t>
            </w:r>
            <w:r>
              <w:t>.</w:t>
            </w:r>
          </w:p>
        </w:tc>
      </w:tr>
      <w:tr w:rsidR="00F35CAF" w:rsidRPr="00DE0966" w:rsidTr="00F35CAF">
        <w:trPr>
          <w:trHeight w:val="268"/>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Disaggregation/</w:t>
            </w:r>
            <w:r w:rsidRPr="00DE01FD">
              <w:rPr>
                <w:rFonts w:eastAsia="Times New Roman" w:cstheme="minorHAnsi"/>
                <w:color w:val="003366"/>
                <w:sz w:val="16"/>
                <w:szCs w:val="16"/>
              </w:rPr>
              <w:br/>
              <w:t>additional dimension</w:t>
            </w:r>
          </w:p>
        </w:tc>
        <w:tc>
          <w:tcPr>
            <w:tcW w:w="7654" w:type="dxa"/>
            <w:shd w:val="clear" w:color="auto" w:fill="auto"/>
          </w:tcPr>
          <w:p w:rsidR="00F35CAF" w:rsidRPr="00972EE8" w:rsidRDefault="00F35CAF" w:rsidP="00F35CAF">
            <w:pPr>
              <w:pStyle w:val="IndicatorText"/>
              <w:framePr w:hSpace="0" w:wrap="auto" w:vAnchor="margin" w:hAnchor="text" w:yAlign="inline"/>
            </w:pPr>
            <w:r>
              <w:t>A</w:t>
            </w:r>
            <w:r w:rsidRPr="00972EE8">
              <w:t>ge</w:t>
            </w:r>
            <w:r>
              <w:t>, per motor vehicle (fatalities per 10 000 motor vehicles), s</w:t>
            </w:r>
            <w:r w:rsidRPr="00972EE8">
              <w:t>ex</w:t>
            </w:r>
            <w:r>
              <w:t>, s</w:t>
            </w:r>
            <w:r w:rsidRPr="00972EE8">
              <w:t>ocioeconomic status</w:t>
            </w:r>
          </w:p>
        </w:tc>
      </w:tr>
      <w:tr w:rsidR="00F35CAF" w:rsidRPr="00DE0966" w:rsidTr="00F35CAF">
        <w:trPr>
          <w:trHeight w:val="122"/>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Method of measurement</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t>Death registration data using ICD</w:t>
            </w:r>
            <w:r>
              <w:t>-</w:t>
            </w:r>
            <w:r w:rsidRPr="00972EE8">
              <w:t>10</w:t>
            </w:r>
            <w:r>
              <w:t>.</w:t>
            </w:r>
          </w:p>
        </w:tc>
      </w:tr>
      <w:tr w:rsidR="00F35CAF" w:rsidRPr="00DE0966" w:rsidTr="00F35CAF">
        <w:trPr>
          <w:trHeight w:val="160"/>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Method of estimation</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t>Model</w:t>
            </w:r>
            <w:r>
              <w:t>l</w:t>
            </w:r>
            <w:r w:rsidRPr="00972EE8">
              <w:t>ing</w:t>
            </w:r>
            <w:r>
              <w:t>,</w:t>
            </w:r>
            <w:r w:rsidRPr="00972EE8">
              <w:t xml:space="preserve"> using multiple inputs</w:t>
            </w:r>
            <w:r>
              <w:t>,</w:t>
            </w:r>
            <w:r w:rsidRPr="00972EE8">
              <w:t xml:space="preserve"> is often used if no complete and accurate data are available</w:t>
            </w:r>
            <w:r>
              <w:t>.</w:t>
            </w:r>
            <w:r w:rsidRPr="00972EE8">
              <w:t xml:space="preserve"> </w:t>
            </w:r>
          </w:p>
        </w:tc>
      </w:tr>
      <w:tr w:rsidR="00F35CAF" w:rsidRPr="00DE0966" w:rsidTr="00F35CAF">
        <w:trPr>
          <w:trHeight w:val="224"/>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Measurement frequency</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rPr>
                <w:szCs w:val="16"/>
              </w:rPr>
              <w:t xml:space="preserve">Annual if civil registration data are available, otherwise every </w:t>
            </w:r>
            <w:r>
              <w:rPr>
                <w:szCs w:val="16"/>
              </w:rPr>
              <w:t>five</w:t>
            </w:r>
            <w:r w:rsidRPr="00972EE8">
              <w:rPr>
                <w:szCs w:val="16"/>
              </w:rPr>
              <w:t xml:space="preserve"> years</w:t>
            </w:r>
          </w:p>
        </w:tc>
      </w:tr>
      <w:tr w:rsidR="00F35CAF" w:rsidRPr="00DE0966" w:rsidTr="00F35CAF">
        <w:trPr>
          <w:trHeight w:val="159"/>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387AB0">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DE01FD">
              <w:rPr>
                <w:rFonts w:eastAsia="Times New Roman" w:cstheme="minorHAnsi"/>
                <w:color w:val="003366"/>
                <w:sz w:val="16"/>
                <w:szCs w:val="16"/>
              </w:rPr>
              <w:t>framework</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t>Impact</w:t>
            </w:r>
          </w:p>
        </w:tc>
      </w:tr>
      <w:tr w:rsidR="00F35CAF" w:rsidRPr="00DE0966" w:rsidTr="00F35CAF">
        <w:trPr>
          <w:trHeight w:val="82"/>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Preferred data sources</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t>Civil registration and vital statistics systems with full coverage</w:t>
            </w:r>
          </w:p>
        </w:tc>
      </w:tr>
      <w:tr w:rsidR="00F35CAF" w:rsidRPr="00DE0966" w:rsidTr="00F35CAF">
        <w:trPr>
          <w:trHeight w:val="160"/>
        </w:trPr>
        <w:tc>
          <w:tcPr>
            <w:tcW w:w="2042" w:type="dxa"/>
            <w:tcBorders>
              <w:top w:val="nil"/>
              <w:bottom w:val="nil"/>
            </w:tcBorders>
            <w:shd w:val="clear" w:color="000000" w:fill="E6F0FA"/>
          </w:tcPr>
          <w:p w:rsidR="00F35CAF" w:rsidRPr="00DE01FD" w:rsidRDefault="00F35CAF" w:rsidP="00F35CAF">
            <w:pPr>
              <w:spacing w:before="80" w:after="80"/>
              <w:rPr>
                <w:rFonts w:eastAsia="Times New Roman" w:cstheme="minorHAnsi"/>
                <w:color w:val="003366"/>
                <w:sz w:val="16"/>
                <w:szCs w:val="16"/>
              </w:rPr>
            </w:pPr>
            <w:r w:rsidRPr="00DE01FD">
              <w:rPr>
                <w:rFonts w:eastAsia="Times New Roman" w:cstheme="minorHAnsi"/>
                <w:color w:val="003366"/>
                <w:sz w:val="16"/>
                <w:szCs w:val="16"/>
              </w:rPr>
              <w:t>Other possible data sources</w:t>
            </w:r>
          </w:p>
        </w:tc>
        <w:tc>
          <w:tcPr>
            <w:tcW w:w="7654" w:type="dxa"/>
            <w:shd w:val="clear" w:color="auto" w:fill="auto"/>
          </w:tcPr>
          <w:p w:rsidR="00F35CAF" w:rsidRPr="00972EE8" w:rsidRDefault="00F35CAF" w:rsidP="00F35CAF">
            <w:pPr>
              <w:pStyle w:val="IndicatorText"/>
              <w:framePr w:hSpace="0" w:wrap="auto" w:vAnchor="margin" w:hAnchor="text" w:yAlign="inline"/>
            </w:pPr>
            <w:r w:rsidRPr="00972EE8">
              <w:t xml:space="preserve">Population-based health surveys with verbal autopsy, </w:t>
            </w:r>
            <w:r>
              <w:t>a</w:t>
            </w:r>
            <w:r w:rsidRPr="00972EE8">
              <w:t>dministrative reporting systems (police reports)</w:t>
            </w:r>
          </w:p>
        </w:tc>
      </w:tr>
      <w:tr w:rsidR="00F35CAF" w:rsidRPr="00DE0966" w:rsidTr="00F35CAF">
        <w:trPr>
          <w:trHeight w:val="160"/>
        </w:trPr>
        <w:tc>
          <w:tcPr>
            <w:tcW w:w="2042" w:type="dxa"/>
            <w:tcBorders>
              <w:top w:val="nil"/>
              <w:bottom w:val="single" w:sz="4" w:space="0" w:color="A3BBD5"/>
            </w:tcBorders>
            <w:shd w:val="clear" w:color="000000" w:fill="E6F0FA"/>
          </w:tcPr>
          <w:p w:rsidR="00F35CAF" w:rsidRPr="00DE01FD"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F35CAF" w:rsidRPr="00972EE8" w:rsidRDefault="00F35CAF" w:rsidP="00F35CAF">
            <w:pPr>
              <w:pStyle w:val="IndicatorText"/>
              <w:framePr w:hSpace="0" w:wrap="auto" w:vAnchor="margin" w:hAnchor="text" w:yAlign="inline"/>
            </w:pPr>
            <w:r w:rsidRPr="00C2756C">
              <w:t>ESCAP road safety goals, targets and indicators for the Decade of Action, 2011-2020. In: Road safety: note by the Secretariat. Bangkok: United Nations Economic and Social Commission for Asia and the Pacific; 2011: Annex 1 of Document E/ESCAP/MCT.2/8 of United Nations ESCAP Ministerial Conference on Transport, Bangkok, 12-16 March 2012 (http://www.unescap.org/ttdw/MCT2011/MCT/MCT2-8E.pdf, accessed 21 April 2015).</w:t>
            </w:r>
            <w:r>
              <w:t xml:space="preserve"> </w:t>
            </w:r>
          </w:p>
          <w:p w:rsidR="00F35CAF" w:rsidRPr="00972EE8" w:rsidRDefault="00F35CAF" w:rsidP="00F35CAF">
            <w:pPr>
              <w:pStyle w:val="IndicatorText"/>
              <w:framePr w:hSpace="0" w:wrap="auto" w:vAnchor="margin" w:hAnchor="text" w:yAlign="inline"/>
            </w:pPr>
            <w:r w:rsidRPr="00580E87">
              <w:rPr>
                <w:lang w:val="en-US"/>
              </w:rPr>
              <w:t>Global status report on road safety: time for action. Geneva: World Health Organization; 2009 (</w:t>
            </w:r>
            <w:r w:rsidRPr="0056160E">
              <w:rPr>
                <w:lang w:val="en-US"/>
              </w:rPr>
              <w:t>www.who.int/violence_injury_prevention/road_safety_status/2009</w:t>
            </w:r>
            <w:r w:rsidRPr="00580E87">
              <w:rPr>
                <w:lang w:val="en-US"/>
              </w:rPr>
              <w:t>, accessed 29 March 2015).</w:t>
            </w:r>
          </w:p>
          <w:p w:rsidR="00F35CAF" w:rsidRPr="00972EE8" w:rsidRDefault="00F35CAF" w:rsidP="00F35CAF">
            <w:pPr>
              <w:pStyle w:val="IndicatorText"/>
              <w:framePr w:hSpace="0" w:wrap="auto" w:vAnchor="margin" w:hAnchor="text" w:yAlign="inline"/>
            </w:pPr>
            <w:r w:rsidRPr="00A35911">
              <w:rPr>
                <w:lang w:val="en-US"/>
              </w:rPr>
              <w:t>Organisation for Economic Co-operation and Development.</w:t>
            </w:r>
            <w:r w:rsidRPr="00A35911" w:rsidDel="00B414BC">
              <w:rPr>
                <w:lang w:val="en-US"/>
              </w:rPr>
              <w:t xml:space="preserve"> </w:t>
            </w:r>
            <w:r w:rsidRPr="00A35911">
              <w:rPr>
                <w:iCs/>
                <w:lang w:val="en-US"/>
              </w:rPr>
              <w:t>Health at a Glance 2013: OECD Indicators</w:t>
            </w:r>
            <w:r w:rsidRPr="00A35911">
              <w:rPr>
                <w:lang w:val="en-US"/>
              </w:rPr>
              <w:t>, Paris: OECD Publishing</w:t>
            </w:r>
            <w:r w:rsidRPr="00FA76AE">
              <w:t>; 2013 (</w:t>
            </w:r>
            <w:r w:rsidRPr="0056160E">
              <w:t>http://dx.doi.org/10.1787/health_glance-2013-en</w:t>
            </w:r>
            <w:r w:rsidRPr="00FA76AE">
              <w:t>, accessed 29 March 2014).</w:t>
            </w:r>
          </w:p>
        </w:tc>
      </w:tr>
    </w:tbl>
    <w:p w:rsidR="00F35CAF" w:rsidRDefault="00F35CAF" w:rsidP="00F35CAF"/>
    <w:p w:rsidR="00F35CAF" w:rsidRDefault="00F35CAF" w:rsidP="00F35CAF">
      <w:r>
        <w:br w:type="page"/>
      </w:r>
    </w:p>
    <w:p w:rsidR="006B7894" w:rsidRPr="00277801" w:rsidRDefault="006B7894" w:rsidP="006B7894">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7</w:t>
      </w:r>
      <w:r w:rsidRPr="00277801">
        <w:rPr>
          <w:color w:val="FFFFFF" w:themeColor="background1"/>
        </w:rPr>
        <w:t xml:space="preserve">: </w:t>
      </w:r>
      <w:r>
        <w:rPr>
          <w:color w:val="FFFFFF" w:themeColor="background1"/>
        </w:rPr>
        <w:tab/>
      </w:r>
      <w:r w:rsidRPr="006B7894">
        <w:rPr>
          <w:color w:val="FFFFFF" w:themeColor="background1"/>
        </w:rPr>
        <w:t>By 2030, ensure universal access to sexual and reproductive health-care services, including for family planning, information and education, and the integration of reproductive health into national strategies and programmes</w:t>
      </w:r>
    </w:p>
    <w:p w:rsidR="00F35CAF" w:rsidRDefault="006B7894" w:rsidP="00F35CAF">
      <w:pPr>
        <w:pStyle w:val="Tablesub-heading"/>
      </w:pPr>
      <w:r>
        <w:t>Indicator 3.7.1:</w:t>
      </w:r>
      <w:r>
        <w:tab/>
      </w:r>
      <w:r w:rsidR="00F35CAF" w:rsidRPr="00F35CAF">
        <w:t xml:space="preserve">Adolescent birth rate </w:t>
      </w:r>
      <w:commentRangeStart w:id="16"/>
      <w:r w:rsidR="00F35CAF" w:rsidRPr="00F35CAF">
        <w:t>(10-14, 15-19)</w:t>
      </w:r>
      <w:commentRangeEnd w:id="16"/>
      <w:r>
        <w:rPr>
          <w:rStyle w:val="CommentReference"/>
          <w:rFonts w:ascii="Garamond" w:eastAsia="SimSun" w:hAnsi="Garamond" w:cs="Times New Roman"/>
          <w:b w:val="0"/>
          <w:bCs w:val="0"/>
          <w:noProof w:val="0"/>
          <w:color w:val="auto"/>
          <w:lang w:val="en-US"/>
        </w:rPr>
        <w:commentReference w:id="16"/>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F35CAF" w:rsidRPr="00DE0966" w:rsidTr="00F35CAF">
        <w:trPr>
          <w:trHeight w:val="117"/>
        </w:trPr>
        <w:tc>
          <w:tcPr>
            <w:tcW w:w="2042" w:type="dxa"/>
            <w:tcBorders>
              <w:top w:val="single" w:sz="4" w:space="0" w:color="A3BBD5"/>
              <w:bottom w:val="nil"/>
            </w:tcBorders>
            <w:shd w:val="clear" w:color="000000" w:fill="E6F0FA"/>
            <w:hideMark/>
          </w:tcPr>
          <w:p w:rsidR="00F35CAF" w:rsidRPr="00972EE8" w:rsidRDefault="00F35CAF" w:rsidP="00405F21">
            <w:pPr>
              <w:spacing w:after="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F35CAF" w:rsidRPr="00972EE8" w:rsidRDefault="00F35CAF" w:rsidP="00405F21">
            <w:pPr>
              <w:pStyle w:val="IndicatorName"/>
              <w:framePr w:hSpace="0" w:wrap="auto" w:vAnchor="margin" w:hAnchor="text" w:yAlign="inline"/>
              <w:spacing w:beforeLines="0" w:before="0" w:after="0"/>
            </w:pPr>
            <w:bookmarkStart w:id="17" w:name="_Toc418774225"/>
            <w:r w:rsidRPr="00972EE8">
              <w:t>Adolescent fertility rate</w:t>
            </w:r>
            <w:bookmarkEnd w:id="17"/>
          </w:p>
        </w:tc>
      </w:tr>
      <w:tr w:rsidR="00F35CAF" w:rsidRPr="00DE0966" w:rsidTr="00F35CAF">
        <w:trPr>
          <w:trHeight w:val="35"/>
        </w:trPr>
        <w:tc>
          <w:tcPr>
            <w:tcW w:w="2042" w:type="dxa"/>
            <w:tcBorders>
              <w:top w:val="nil"/>
              <w:bottom w:val="nil"/>
            </w:tcBorders>
            <w:shd w:val="clear" w:color="000000" w:fill="E6F0FA"/>
            <w:hideMark/>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Indicator name</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rsidRPr="00972EE8">
              <w:t>Adolescent fertility rate (per 1000 girls aged 15</w:t>
            </w:r>
            <w:r>
              <w:t>–</w:t>
            </w:r>
            <w:r w:rsidRPr="00972EE8">
              <w:t>19 years)</w:t>
            </w: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Domain</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rsidRPr="00972EE8">
              <w:t>Health status</w:t>
            </w: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rsidRPr="00892A7B">
              <w:t xml:space="preserve">Reproductive, </w:t>
            </w:r>
            <w:r>
              <w:t>m</w:t>
            </w:r>
            <w:r w:rsidRPr="00892A7B">
              <w:t xml:space="preserve">aternal, </w:t>
            </w:r>
            <w:r>
              <w:t>n</w:t>
            </w:r>
            <w:r w:rsidRPr="00892A7B">
              <w:t xml:space="preserve">ewborn, </w:t>
            </w:r>
            <w:r>
              <w:t>c</w:t>
            </w:r>
            <w:r w:rsidRPr="00892A7B">
              <w:t xml:space="preserve">hild and </w:t>
            </w:r>
            <w:r>
              <w:t>a</w:t>
            </w:r>
            <w:r w:rsidRPr="00892A7B">
              <w:t xml:space="preserve">dolescent </w:t>
            </w:r>
            <w:r>
              <w:t>h</w:t>
            </w:r>
            <w:r w:rsidRPr="00892A7B">
              <w:t>ealth</w:t>
            </w: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Associated terms</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rsidRPr="00972EE8">
              <w:t>Fertility</w:t>
            </w: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Definition</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t>A</w:t>
            </w:r>
            <w:r w:rsidRPr="00972EE8">
              <w:t>nnual number of births to women aged 15</w:t>
            </w:r>
            <w:r>
              <w:sym w:font="Symbol" w:char="F02D"/>
            </w:r>
            <w:r w:rsidRPr="00972EE8">
              <w:t xml:space="preserve">19 years per </w:t>
            </w:r>
            <w:r>
              <w:t>1000</w:t>
            </w:r>
            <w:r w:rsidRPr="00972EE8">
              <w:t xml:space="preserve"> women in that age group.</w:t>
            </w:r>
            <w:r>
              <w:t xml:space="preserve"> </w:t>
            </w:r>
            <w:r w:rsidRPr="00972EE8">
              <w:t>It is also referred to as the age-specific fertility rate for women aged 15</w:t>
            </w:r>
            <w:r>
              <w:sym w:font="Symbol" w:char="F02D"/>
            </w:r>
            <w:r w:rsidRPr="00972EE8">
              <w:t>19</w:t>
            </w:r>
            <w:r>
              <w:t xml:space="preserve"> years</w:t>
            </w:r>
            <w:r w:rsidRPr="00972EE8">
              <w:t>.</w:t>
            </w:r>
          </w:p>
        </w:tc>
      </w:tr>
      <w:tr w:rsidR="00F35CAF" w:rsidRPr="00DE0966" w:rsidTr="00F35CAF">
        <w:trPr>
          <w:trHeight w:val="23"/>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Numerator</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t>N</w:t>
            </w:r>
            <w:r w:rsidRPr="00972EE8">
              <w:t xml:space="preserve">umber of live births to women </w:t>
            </w:r>
            <w:r>
              <w:t xml:space="preserve">aged </w:t>
            </w:r>
            <w:r w:rsidRPr="00972EE8">
              <w:t>15</w:t>
            </w:r>
            <w:r>
              <w:sym w:font="Symbol" w:char="F02D"/>
            </w:r>
            <w:r w:rsidRPr="00972EE8">
              <w:t>19 years</w:t>
            </w:r>
            <w:r>
              <w:t>.</w:t>
            </w:r>
          </w:p>
        </w:tc>
      </w:tr>
      <w:tr w:rsidR="00F35CAF" w:rsidRPr="00DE0966" w:rsidTr="00F35CAF">
        <w:trPr>
          <w:trHeight w:val="62"/>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Denominator</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t>E</w:t>
            </w:r>
            <w:r w:rsidRPr="00972EE8">
              <w:t xml:space="preserve">xposure to childbearing by women </w:t>
            </w:r>
            <w:r>
              <w:t xml:space="preserve">aged </w:t>
            </w:r>
            <w:r w:rsidRPr="00972EE8">
              <w:t>15</w:t>
            </w:r>
            <w:r>
              <w:sym w:font="Symbol" w:char="F02D"/>
            </w:r>
            <w:r w:rsidRPr="00972EE8">
              <w:t>19 years</w:t>
            </w:r>
            <w:r>
              <w:t>.</w:t>
            </w:r>
          </w:p>
        </w:tc>
      </w:tr>
      <w:tr w:rsidR="00F35CAF" w:rsidRPr="00DE0966" w:rsidTr="00F35CAF">
        <w:trPr>
          <w:trHeight w:val="268"/>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Disaggregation/</w:t>
            </w:r>
            <w:r w:rsidRPr="00972EE8">
              <w:rPr>
                <w:rFonts w:eastAsia="Times New Roman" w:cstheme="minorHAnsi"/>
                <w:color w:val="003366"/>
                <w:sz w:val="16"/>
                <w:szCs w:val="16"/>
              </w:rPr>
              <w:br/>
              <w:t>additional dimension</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t>M</w:t>
            </w:r>
            <w:r w:rsidRPr="00972EE8">
              <w:t xml:space="preserve">arital status </w:t>
            </w:r>
            <w:r>
              <w:t>(</w:t>
            </w:r>
            <w:r w:rsidRPr="00972EE8">
              <w:t>when possible, also capture girls &lt;</w:t>
            </w:r>
            <w:r>
              <w:t xml:space="preserve"> </w:t>
            </w:r>
            <w:r w:rsidRPr="00972EE8">
              <w:t>15</w:t>
            </w:r>
            <w:r>
              <w:t xml:space="preserve"> years</w:t>
            </w:r>
            <w:r w:rsidRPr="00972EE8">
              <w:t>)</w:t>
            </w:r>
            <w:r>
              <w:t>, p</w:t>
            </w:r>
            <w:r w:rsidRPr="00972EE8">
              <w:t xml:space="preserve">lace of residence, </w:t>
            </w:r>
            <w:r>
              <w:t>s</w:t>
            </w:r>
            <w:r w:rsidRPr="00972EE8">
              <w:t>ocioeconomic status</w:t>
            </w:r>
          </w:p>
        </w:tc>
      </w:tr>
      <w:tr w:rsidR="00F35CAF" w:rsidRPr="00DE0966" w:rsidTr="00F35CAF">
        <w:trPr>
          <w:trHeight w:val="122"/>
        </w:trPr>
        <w:tc>
          <w:tcPr>
            <w:tcW w:w="2042" w:type="dxa"/>
            <w:tcBorders>
              <w:top w:val="nil"/>
              <w:bottom w:val="nil"/>
            </w:tcBorders>
            <w:shd w:val="clear" w:color="000000" w:fill="E6F0FA"/>
          </w:tcPr>
          <w:p w:rsidR="00F35CAF" w:rsidRPr="00972EE8" w:rsidRDefault="00F35CAF" w:rsidP="00F35CAF">
            <w:pPr>
              <w:spacing w:before="60" w:after="60"/>
              <w:rPr>
                <w:rFonts w:eastAsia="Times New Roman" w:cstheme="minorHAnsi"/>
                <w:color w:val="003366"/>
                <w:sz w:val="16"/>
                <w:szCs w:val="16"/>
              </w:rPr>
            </w:pPr>
            <w:r w:rsidRPr="00972EE8">
              <w:rPr>
                <w:rFonts w:eastAsia="Times New Roman" w:cstheme="minorHAnsi"/>
                <w:color w:val="003366"/>
                <w:sz w:val="16"/>
                <w:szCs w:val="16"/>
              </w:rPr>
              <w:t>Method of measurement</w:t>
            </w:r>
          </w:p>
        </w:tc>
        <w:tc>
          <w:tcPr>
            <w:tcW w:w="7654" w:type="dxa"/>
            <w:shd w:val="clear" w:color="auto" w:fill="auto"/>
          </w:tcPr>
          <w:p w:rsidR="00F35CAF" w:rsidRDefault="00F35CAF" w:rsidP="00F35CAF">
            <w:pPr>
              <w:pStyle w:val="IndicatorText"/>
              <w:framePr w:hSpace="0" w:wrap="auto" w:vAnchor="margin" w:hAnchor="text" w:yAlign="inline"/>
              <w:spacing w:before="60" w:after="60"/>
            </w:pPr>
            <w:r w:rsidRPr="00972EE8">
              <w:t xml:space="preserve">The adolescent birth rate is generally computed as a ratio. The numerator is the number of live births to women </w:t>
            </w:r>
            <w:r>
              <w:t xml:space="preserve">aged </w:t>
            </w:r>
            <w:r w:rsidRPr="00972EE8">
              <w:t>15</w:t>
            </w:r>
            <w:r>
              <w:sym w:font="Symbol" w:char="F02D"/>
            </w:r>
            <w:r w:rsidRPr="00972EE8">
              <w:t xml:space="preserve">19 years, and the denominator </w:t>
            </w:r>
            <w:r>
              <w:t xml:space="preserve">is </w:t>
            </w:r>
            <w:r w:rsidRPr="00972EE8">
              <w:t>an estimate of exposure to childbearing by women</w:t>
            </w:r>
            <w:r>
              <w:t xml:space="preserve"> aged</w:t>
            </w:r>
            <w:r w:rsidRPr="00972EE8">
              <w:t xml:space="preserve"> 15</w:t>
            </w:r>
            <w:r>
              <w:sym w:font="Symbol" w:char="F02D"/>
            </w:r>
            <w:r w:rsidRPr="00972EE8">
              <w:t>19 years. The numerator and the denominator are calculated differently for civil registration</w:t>
            </w:r>
            <w:r>
              <w:t xml:space="preserve"> and</w:t>
            </w:r>
            <w:r w:rsidRPr="00972EE8">
              <w:t xml:space="preserve"> survey and census data.</w:t>
            </w:r>
          </w:p>
          <w:p w:rsidR="00F35CAF" w:rsidRDefault="00F35CAF" w:rsidP="00F35CAF">
            <w:pPr>
              <w:pStyle w:val="IndicatorText"/>
              <w:framePr w:hSpace="0" w:wrap="auto" w:vAnchor="margin" w:hAnchor="text" w:yAlign="inline"/>
              <w:spacing w:before="60" w:after="60"/>
            </w:pPr>
            <w:r w:rsidRPr="00D03AC0">
              <w:rPr>
                <w:u w:val="single"/>
              </w:rPr>
              <w:t>Civil registration</w:t>
            </w:r>
            <w:r>
              <w:t xml:space="preserve">: </w:t>
            </w:r>
            <w:r w:rsidRPr="00972EE8">
              <w:t>In the case of civil registration the numerator is the registered number of live</w:t>
            </w:r>
            <w:r>
              <w:t xml:space="preserve"> </w:t>
            </w:r>
            <w:r w:rsidRPr="00972EE8">
              <w:t xml:space="preserve">births born to women </w:t>
            </w:r>
            <w:r>
              <w:t xml:space="preserve">aged </w:t>
            </w:r>
            <w:r w:rsidRPr="00972EE8">
              <w:t>15</w:t>
            </w:r>
            <w:r>
              <w:sym w:font="Symbol" w:char="F02D"/>
            </w:r>
            <w:r w:rsidRPr="00972EE8">
              <w:t xml:space="preserve">19 years </w:t>
            </w:r>
            <w:r>
              <w:t>d</w:t>
            </w:r>
            <w:r w:rsidRPr="00972EE8">
              <w:t>uring a given year, and the denominator is the estimated or enumerated populatio</w:t>
            </w:r>
            <w:r>
              <w:t>n of</w:t>
            </w:r>
            <w:r w:rsidRPr="00972EE8">
              <w:t xml:space="preserve"> women aged 15</w:t>
            </w:r>
            <w:r>
              <w:sym w:font="Symbol" w:char="F02D"/>
            </w:r>
            <w:r w:rsidRPr="00972EE8">
              <w:t>19</w:t>
            </w:r>
            <w:r>
              <w:t xml:space="preserve"> years</w:t>
            </w:r>
            <w:r w:rsidRPr="00972EE8">
              <w:t xml:space="preserve">. </w:t>
            </w:r>
          </w:p>
          <w:p w:rsidR="00F35CAF" w:rsidRDefault="00F35CAF" w:rsidP="00F35CAF">
            <w:pPr>
              <w:pStyle w:val="IndicatorText"/>
              <w:framePr w:hSpace="0" w:wrap="auto" w:vAnchor="margin" w:hAnchor="text" w:yAlign="inline"/>
              <w:spacing w:before="60" w:after="60"/>
            </w:pPr>
            <w:r w:rsidRPr="00D03AC0">
              <w:rPr>
                <w:u w:val="single"/>
              </w:rPr>
              <w:t>Survey data</w:t>
            </w:r>
            <w:r>
              <w:t xml:space="preserve">: </w:t>
            </w:r>
            <w:r w:rsidRPr="00972EE8">
              <w:t xml:space="preserve">In the case of survey data, the adolescent birth rate is generally computed </w:t>
            </w:r>
            <w:r>
              <w:t>on the basis of</w:t>
            </w:r>
            <w:r w:rsidRPr="00972EE8">
              <w:t xml:space="preserve"> retrospective birth histories. The numerator refers to births to women </w:t>
            </w:r>
            <w:r>
              <w:t>who</w:t>
            </w:r>
            <w:r w:rsidRPr="00972EE8">
              <w:t xml:space="preserve"> were 15</w:t>
            </w:r>
            <w:r>
              <w:sym w:font="Symbol" w:char="F02D"/>
            </w:r>
            <w:r w:rsidRPr="00972EE8">
              <w:t xml:space="preserve">19 years of age at the time of the birth during a reference period before the interview, and the denominator to person-years lived between the ages of 15 and 19 </w:t>
            </w:r>
            <w:r>
              <w:t xml:space="preserve">years </w:t>
            </w:r>
            <w:r w:rsidRPr="00972EE8">
              <w:t xml:space="preserve">by the interviewed women during the same reference period. Whenever possible, the reference period corresponds to the five years preceding the survey. The reported observation year corresponds to the middle of the reference period. For some surveys, no retrospective birth histories are available and the estimate is based on the date of last birth or the number of births in the 12 months preceding the survey. </w:t>
            </w:r>
          </w:p>
          <w:p w:rsidR="00F35CAF" w:rsidRDefault="00F35CAF" w:rsidP="00F35CAF">
            <w:pPr>
              <w:pStyle w:val="IndicatorText"/>
              <w:framePr w:hSpace="0" w:wrap="auto" w:vAnchor="margin" w:hAnchor="text" w:yAlign="inline"/>
              <w:spacing w:before="60" w:after="60"/>
            </w:pPr>
            <w:r w:rsidRPr="003C7E03">
              <w:rPr>
                <w:u w:val="single"/>
              </w:rPr>
              <w:t>Census data</w:t>
            </w:r>
            <w:r>
              <w:t>: With</w:t>
            </w:r>
            <w:r w:rsidRPr="00972EE8">
              <w:t xml:space="preserve"> census data, the adolescent birth rate is generally computed </w:t>
            </w:r>
            <w:r>
              <w:t>o</w:t>
            </w:r>
            <w:r w:rsidRPr="00972EE8">
              <w:t>n</w:t>
            </w:r>
            <w:r>
              <w:t xml:space="preserve"> the basis of</w:t>
            </w:r>
            <w:r w:rsidRPr="00972EE8">
              <w:t xml:space="preserve"> the date of last birth or the number of births in the 12 months preceding the enumeration. The census provides both the numerator and the denominator for the rates. In some cases, the rates based on censuses are adjusted for under-registration based on indirect methods of estimation. For some countries with no other reliable data, the own-children method of indirect estimation provides estimates of the adolescent birth rate for a number of years before the census</w:t>
            </w:r>
            <w:r>
              <w:t xml:space="preserve"> </w:t>
            </w:r>
            <w:r w:rsidRPr="00972EE8">
              <w:t>(</w:t>
            </w:r>
            <w:r>
              <w:t xml:space="preserve">See: </w:t>
            </w:r>
            <w:r w:rsidRPr="0056160E">
              <w:t>http://mdgs.un.org/unsd/mdg/Metadata.aspx</w:t>
            </w:r>
            <w:r>
              <w:t xml:space="preserve">, </w:t>
            </w:r>
            <w:r w:rsidRPr="00972EE8">
              <w:t>accessed 19 October 2009</w:t>
            </w:r>
            <w:r>
              <w:t>.</w:t>
            </w:r>
            <w:r w:rsidRPr="00972EE8">
              <w:t>)</w:t>
            </w:r>
          </w:p>
          <w:p w:rsidR="00F35CAF" w:rsidRPr="00972EE8" w:rsidRDefault="00F35CAF" w:rsidP="00F35CAF">
            <w:pPr>
              <w:pStyle w:val="IndicatorText"/>
              <w:framePr w:hSpace="0" w:wrap="auto" w:vAnchor="margin" w:hAnchor="text" w:yAlign="inline"/>
              <w:spacing w:before="60" w:after="60"/>
            </w:pPr>
            <w:r>
              <w:t>If numbers are available, adolescent fertility at ages under 15 years can also be computed.</w:t>
            </w:r>
          </w:p>
        </w:tc>
      </w:tr>
      <w:tr w:rsidR="00F35CAF" w:rsidRPr="00DE0966" w:rsidTr="00F35CAF">
        <w:trPr>
          <w:trHeight w:val="160"/>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Method of estimation</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rsidRPr="00972EE8">
              <w:t>The United Nations Population Division compiles and updates data on adolescent fertility rate</w:t>
            </w:r>
            <w:r>
              <w:t>s</w:t>
            </w:r>
            <w:r w:rsidRPr="00972EE8">
              <w:t xml:space="preserve"> for MDG monitoring. Estimates based on civil registration are provided when the country reports at least 90</w:t>
            </w:r>
            <w:r>
              <w:t>%</w:t>
            </w:r>
            <w:r w:rsidRPr="00972EE8">
              <w:t xml:space="preserve"> coverage and there is reasonable agreement between civil registration estimates and survey estimates. Survey estimates are provided only when there is no reliable civil registration. Given the restrictions of the U</w:t>
            </w:r>
            <w:r>
              <w:t xml:space="preserve">nited </w:t>
            </w:r>
            <w:r w:rsidRPr="00972EE8">
              <w:t>N</w:t>
            </w:r>
            <w:r>
              <w:t>ations</w:t>
            </w:r>
            <w:r w:rsidRPr="00972EE8">
              <w:t xml:space="preserve"> MDG database, only one source is provided by year and country. In such cases precedence is given to the survey programme conducted most frequently at the country level, </w:t>
            </w:r>
            <w:r>
              <w:t xml:space="preserve">with </w:t>
            </w:r>
            <w:r w:rsidRPr="00972EE8">
              <w:t>other survey programmes using retrospective birth histories, census and other surveys in that order.</w:t>
            </w:r>
            <w:r>
              <w:t xml:space="preserve"> </w:t>
            </w:r>
            <w:r w:rsidRPr="00972EE8">
              <w:t>(</w:t>
            </w:r>
            <w:r>
              <w:t xml:space="preserve">See: </w:t>
            </w:r>
            <w:r w:rsidRPr="0056160E">
              <w:t>http://mdgs.un.org/unsd/mdg/Metadata.aspx</w:t>
            </w:r>
            <w:r>
              <w:t xml:space="preserve">, </w:t>
            </w:r>
            <w:r w:rsidRPr="00972EE8">
              <w:t>accessed 19 October 2009</w:t>
            </w:r>
            <w:r>
              <w:t>.</w:t>
            </w:r>
            <w:r w:rsidRPr="00972EE8">
              <w:t>)</w:t>
            </w:r>
          </w:p>
        </w:tc>
      </w:tr>
      <w:tr w:rsidR="00F35CAF" w:rsidRPr="00DE0966" w:rsidTr="00F35CAF">
        <w:trPr>
          <w:trHeight w:val="224"/>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Measurement frequency</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rsidRPr="00972EE8">
              <w:t>Annual</w:t>
            </w:r>
          </w:p>
        </w:tc>
      </w:tr>
      <w:tr w:rsidR="00F35CAF" w:rsidRPr="00DE0966" w:rsidTr="00F35CAF">
        <w:trPr>
          <w:trHeight w:val="159"/>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CC28B2">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972EE8">
              <w:rPr>
                <w:rFonts w:eastAsia="Times New Roman" w:cstheme="minorHAnsi"/>
                <w:color w:val="003366"/>
                <w:sz w:val="16"/>
                <w:szCs w:val="16"/>
              </w:rPr>
              <w:t>framework</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rsidRPr="00972EE8">
              <w:t>Impact</w:t>
            </w:r>
          </w:p>
        </w:tc>
      </w:tr>
      <w:tr w:rsidR="00F35CAF" w:rsidRPr="00DE0966" w:rsidTr="00F35CAF">
        <w:trPr>
          <w:trHeight w:val="82"/>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Preferred data sources</w:t>
            </w:r>
          </w:p>
        </w:tc>
        <w:tc>
          <w:tcPr>
            <w:tcW w:w="7654" w:type="dxa"/>
            <w:shd w:val="clear" w:color="auto" w:fill="auto"/>
          </w:tcPr>
          <w:p w:rsidR="00F35CAF" w:rsidRPr="00972EE8" w:rsidRDefault="00F35CAF" w:rsidP="00405F21">
            <w:pPr>
              <w:pStyle w:val="IndicatorText"/>
              <w:framePr w:hSpace="0" w:wrap="auto" w:vAnchor="margin" w:hAnchor="text" w:yAlign="inline"/>
              <w:spacing w:before="0" w:after="0"/>
            </w:pPr>
            <w:r w:rsidRPr="00972EE8">
              <w:t>Civil registration systems with full coverage</w:t>
            </w:r>
          </w:p>
        </w:tc>
      </w:tr>
      <w:tr w:rsidR="00F35CAF" w:rsidRPr="00DE0966" w:rsidTr="00F35CAF">
        <w:trPr>
          <w:trHeight w:val="160"/>
        </w:trPr>
        <w:tc>
          <w:tcPr>
            <w:tcW w:w="2042" w:type="dxa"/>
            <w:tcBorders>
              <w:top w:val="nil"/>
              <w:bottom w:val="nil"/>
            </w:tcBorders>
            <w:shd w:val="clear" w:color="000000" w:fill="E6F0FA"/>
          </w:tcPr>
          <w:p w:rsidR="00F35CAF" w:rsidRPr="00972EE8" w:rsidRDefault="00F35CAF" w:rsidP="00405F21">
            <w:pPr>
              <w:spacing w:after="0"/>
              <w:rPr>
                <w:rFonts w:eastAsia="Times New Roman" w:cstheme="minorHAnsi"/>
                <w:color w:val="003366"/>
                <w:sz w:val="16"/>
                <w:szCs w:val="16"/>
              </w:rPr>
            </w:pPr>
            <w:r w:rsidRPr="00972EE8">
              <w:rPr>
                <w:rFonts w:eastAsia="Times New Roman" w:cstheme="minorHAnsi"/>
                <w:color w:val="003366"/>
                <w:sz w:val="16"/>
                <w:szCs w:val="16"/>
              </w:rPr>
              <w:t>Other possible data sources</w:t>
            </w:r>
          </w:p>
        </w:tc>
        <w:tc>
          <w:tcPr>
            <w:tcW w:w="7654" w:type="dxa"/>
            <w:tcBorders>
              <w:bottom w:val="nil"/>
            </w:tcBorders>
            <w:shd w:val="clear" w:color="auto" w:fill="auto"/>
          </w:tcPr>
          <w:p w:rsidR="00F35CAF" w:rsidRPr="00972EE8" w:rsidRDefault="00F35CAF" w:rsidP="00405F21">
            <w:pPr>
              <w:pStyle w:val="IndicatorText"/>
              <w:framePr w:hSpace="0" w:wrap="auto" w:vAnchor="margin" w:hAnchor="text" w:yAlign="inline"/>
              <w:spacing w:before="0" w:after="0"/>
            </w:pPr>
            <w:r w:rsidRPr="00972EE8">
              <w:t xml:space="preserve">Population census, </w:t>
            </w:r>
            <w:r>
              <w:t>h</w:t>
            </w:r>
            <w:r w:rsidRPr="00972EE8">
              <w:t>ousehold surveys</w:t>
            </w:r>
          </w:p>
        </w:tc>
      </w:tr>
      <w:tr w:rsidR="00F35CAF" w:rsidRPr="00DE0966" w:rsidTr="00F35CAF">
        <w:trPr>
          <w:trHeight w:val="160"/>
        </w:trPr>
        <w:tc>
          <w:tcPr>
            <w:tcW w:w="2042" w:type="dxa"/>
            <w:tcBorders>
              <w:top w:val="nil"/>
              <w:bottom w:val="single" w:sz="4" w:space="0" w:color="A3BBD5"/>
            </w:tcBorders>
            <w:shd w:val="clear" w:color="000000" w:fill="E6F0FA"/>
          </w:tcPr>
          <w:p w:rsidR="00F35CAF" w:rsidRPr="00972EE8" w:rsidRDefault="00F35CAF" w:rsidP="00F35CAF">
            <w:pPr>
              <w:spacing w:before="60" w:after="6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tcBorders>
              <w:top w:val="nil"/>
              <w:bottom w:val="single" w:sz="4" w:space="0" w:color="A3BBD5"/>
            </w:tcBorders>
            <w:shd w:val="clear" w:color="auto" w:fill="auto"/>
          </w:tcPr>
          <w:p w:rsidR="00F35CAF" w:rsidRPr="00405F21" w:rsidRDefault="00F35CAF" w:rsidP="00F35CAF">
            <w:pPr>
              <w:pStyle w:val="IndicatorText"/>
              <w:framePr w:hSpace="0" w:wrap="auto" w:vAnchor="margin" w:hAnchor="text" w:yAlign="inline"/>
              <w:spacing w:before="60" w:after="60"/>
              <w:rPr>
                <w:sz w:val="15"/>
                <w:szCs w:val="15"/>
              </w:rPr>
            </w:pPr>
            <w:r w:rsidRPr="00405F21">
              <w:rPr>
                <w:sz w:val="15"/>
                <w:szCs w:val="15"/>
                <w:lang w:val="en-US"/>
              </w:rPr>
              <w:t>Framework of actions for the follow-up to the Programme of Action of the International Conference on Population and Development beyond 2014. Report of the Secretary-General. New York (NY): United Nations; 2014 (https://www.unfpa.org/webdav/site/global/shared/documents/ICPD/Framework%20of%20action%20for%20the%20follow-up%20to%20the%20PoA%20of%20the%20ICPD.pdf, accessed 19 August 2014).</w:t>
            </w:r>
          </w:p>
          <w:p w:rsidR="00F35CAF" w:rsidRPr="00405F21" w:rsidRDefault="00F35CAF" w:rsidP="00F35CAF">
            <w:pPr>
              <w:pStyle w:val="IndicatorText"/>
              <w:framePr w:hSpace="0" w:wrap="auto" w:vAnchor="margin" w:hAnchor="text" w:yAlign="inline"/>
              <w:spacing w:before="60" w:after="60"/>
              <w:rPr>
                <w:sz w:val="15"/>
                <w:szCs w:val="15"/>
              </w:rPr>
            </w:pPr>
            <w:r w:rsidRPr="00405F21">
              <w:rPr>
                <w:sz w:val="15"/>
                <w:szCs w:val="15"/>
                <w:lang w:val="en-US"/>
              </w:rPr>
              <w:t>Monitoring progress in family planning. FP2020 core indicators. Glastonbury (CT): Track20 (http://www.track20.org/pages/data/indicators, 21 March 2014).</w:t>
            </w:r>
          </w:p>
          <w:p w:rsidR="00F35CAF" w:rsidRPr="00972EE8" w:rsidRDefault="00F35CAF" w:rsidP="00F35CAF">
            <w:pPr>
              <w:pStyle w:val="IndicatorText"/>
              <w:framePr w:hSpace="0" w:wrap="auto" w:vAnchor="margin" w:hAnchor="text" w:yAlign="inline"/>
              <w:spacing w:before="60" w:after="60"/>
            </w:pPr>
            <w:r w:rsidRPr="00405F21">
              <w:rPr>
                <w:sz w:val="15"/>
                <w:szCs w:val="15"/>
                <w:lang w:val="en-US"/>
              </w:rPr>
              <w:t>The UNFPA Strategic Plan, 2014</w:t>
            </w:r>
            <w:r w:rsidRPr="00405F21">
              <w:rPr>
                <w:sz w:val="15"/>
                <w:szCs w:val="15"/>
                <w:lang w:val="en-US"/>
              </w:rPr>
              <w:sym w:font="Symbol" w:char="F02D"/>
            </w:r>
            <w:r w:rsidRPr="00405F21">
              <w:rPr>
                <w:sz w:val="15"/>
                <w:szCs w:val="15"/>
                <w:lang w:val="en-US"/>
              </w:rPr>
              <w:t>2017. Report of the Executive Director. New York (NY): United Nations Population Fund; 2013.</w:t>
            </w:r>
          </w:p>
        </w:tc>
      </w:tr>
    </w:tbl>
    <w:p w:rsidR="00405F21" w:rsidRPr="00277801" w:rsidRDefault="00405F21" w:rsidP="00405F2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7</w:t>
      </w:r>
      <w:r w:rsidRPr="00277801">
        <w:rPr>
          <w:color w:val="FFFFFF" w:themeColor="background1"/>
        </w:rPr>
        <w:t xml:space="preserve">: </w:t>
      </w:r>
      <w:r>
        <w:rPr>
          <w:color w:val="FFFFFF" w:themeColor="background1"/>
        </w:rPr>
        <w:tab/>
      </w:r>
      <w:r w:rsidRPr="006B7894">
        <w:rPr>
          <w:color w:val="FFFFFF" w:themeColor="background1"/>
        </w:rPr>
        <w:t>By 2030, ensure universal access to sexual and reproductive health-care services, including for family planning, information and education, and the integration of reproductive health into national strategies and programmes</w:t>
      </w:r>
    </w:p>
    <w:p w:rsidR="00F35CAF" w:rsidRDefault="00405F21" w:rsidP="00F35CAF">
      <w:pPr>
        <w:pStyle w:val="Tablesub-heading"/>
      </w:pPr>
      <w:r>
        <w:t>Indicator 3.7.2:</w:t>
      </w:r>
      <w:r>
        <w:tab/>
      </w:r>
      <w:r w:rsidR="00F35CAF" w:rsidRPr="00F35CAF">
        <w:t>Demand satisfied with modern contraceptives</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F35CAF" w:rsidRPr="00DE0966" w:rsidTr="00F35CAF">
        <w:trPr>
          <w:trHeight w:val="117"/>
        </w:trPr>
        <w:tc>
          <w:tcPr>
            <w:tcW w:w="2042" w:type="dxa"/>
            <w:tcBorders>
              <w:top w:val="single" w:sz="4" w:space="0" w:color="A3BBD5"/>
              <w:bottom w:val="nil"/>
            </w:tcBorders>
            <w:shd w:val="clear" w:color="000000" w:fill="E6F0FA"/>
            <w:hideMark/>
          </w:tcPr>
          <w:p w:rsidR="00F35CAF" w:rsidRPr="007614BE"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F35CAF" w:rsidRPr="005E7236" w:rsidRDefault="00F35CAF" w:rsidP="00F35CAF">
            <w:pPr>
              <w:pStyle w:val="IndicatorName"/>
              <w:framePr w:hSpace="0" w:wrap="auto" w:vAnchor="margin" w:hAnchor="text" w:yAlign="inline"/>
            </w:pPr>
            <w:bookmarkStart w:id="18" w:name="_Toc418774259"/>
            <w:r w:rsidRPr="000F4975">
              <w:t xml:space="preserve">Demand for </w:t>
            </w:r>
            <w:r>
              <w:t>family planning</w:t>
            </w:r>
            <w:r w:rsidRPr="000F4975">
              <w:t xml:space="preserve"> satisfied with modern methods</w:t>
            </w:r>
            <w:bookmarkEnd w:id="18"/>
          </w:p>
        </w:tc>
      </w:tr>
      <w:tr w:rsidR="00F35CAF" w:rsidRPr="00DE0966" w:rsidTr="00F35CAF">
        <w:trPr>
          <w:trHeight w:val="35"/>
        </w:trPr>
        <w:tc>
          <w:tcPr>
            <w:tcW w:w="2042" w:type="dxa"/>
            <w:tcBorders>
              <w:top w:val="nil"/>
              <w:bottom w:val="nil"/>
            </w:tcBorders>
            <w:shd w:val="clear" w:color="000000" w:fill="E6F0FA"/>
            <w:hideMark/>
          </w:tcPr>
          <w:p w:rsidR="00F35CAF" w:rsidRPr="007614BE" w:rsidRDefault="00F35CAF" w:rsidP="00F35CAF">
            <w:pPr>
              <w:spacing w:after="0"/>
              <w:rPr>
                <w:rFonts w:eastAsia="Times New Roman" w:cstheme="minorHAnsi"/>
                <w:color w:val="003366"/>
                <w:sz w:val="16"/>
                <w:szCs w:val="16"/>
              </w:rPr>
            </w:pPr>
            <w:r w:rsidRPr="007614BE">
              <w:rPr>
                <w:rFonts w:eastAsia="Times New Roman" w:cstheme="minorHAnsi"/>
                <w:color w:val="003366"/>
                <w:sz w:val="16"/>
                <w:szCs w:val="16"/>
              </w:rPr>
              <w:t>Indicator name</w:t>
            </w:r>
          </w:p>
        </w:tc>
        <w:tc>
          <w:tcPr>
            <w:tcW w:w="7654" w:type="dxa"/>
            <w:shd w:val="clear" w:color="auto" w:fill="auto"/>
          </w:tcPr>
          <w:p w:rsidR="00F35CAF" w:rsidRPr="005E7236" w:rsidRDefault="00F35CAF" w:rsidP="00F35CAF">
            <w:pPr>
              <w:pStyle w:val="IndicatorText"/>
              <w:framePr w:hSpace="0" w:wrap="auto" w:vAnchor="margin" w:hAnchor="text" w:yAlign="inline"/>
              <w:spacing w:before="0" w:after="0"/>
            </w:pPr>
            <w:r w:rsidRPr="000F4975">
              <w:t xml:space="preserve">Demand for </w:t>
            </w:r>
            <w:r>
              <w:t>family planning</w:t>
            </w:r>
            <w:r w:rsidRPr="000F4975">
              <w:t xml:space="preserve"> satisfied with modern methods</w:t>
            </w:r>
          </w:p>
        </w:tc>
      </w:tr>
      <w:tr w:rsidR="00F35CAF" w:rsidRPr="00DE0966" w:rsidTr="00F35CAF">
        <w:trPr>
          <w:trHeight w:val="23"/>
        </w:trPr>
        <w:tc>
          <w:tcPr>
            <w:tcW w:w="2042" w:type="dxa"/>
            <w:tcBorders>
              <w:top w:val="nil"/>
              <w:bottom w:val="nil"/>
            </w:tcBorders>
            <w:shd w:val="clear" w:color="000000" w:fill="E6F0FA"/>
          </w:tcPr>
          <w:p w:rsidR="00F35CAF" w:rsidRPr="007614BE" w:rsidRDefault="00F35CAF" w:rsidP="00F35CAF">
            <w:pPr>
              <w:spacing w:after="0"/>
              <w:rPr>
                <w:rFonts w:eastAsia="Times New Roman" w:cstheme="minorHAnsi"/>
                <w:color w:val="003366"/>
                <w:sz w:val="16"/>
                <w:szCs w:val="16"/>
              </w:rPr>
            </w:pPr>
            <w:r w:rsidRPr="007614BE">
              <w:rPr>
                <w:rFonts w:eastAsia="Times New Roman" w:cstheme="minorHAnsi"/>
                <w:color w:val="003366"/>
                <w:sz w:val="16"/>
                <w:szCs w:val="16"/>
              </w:rPr>
              <w:t>Domain</w:t>
            </w:r>
          </w:p>
        </w:tc>
        <w:tc>
          <w:tcPr>
            <w:tcW w:w="7654" w:type="dxa"/>
            <w:shd w:val="clear" w:color="auto" w:fill="auto"/>
          </w:tcPr>
          <w:p w:rsidR="00F35CAF" w:rsidRDefault="00F35CAF" w:rsidP="00F35CAF">
            <w:pPr>
              <w:pStyle w:val="IndicatorText"/>
              <w:framePr w:hSpace="0" w:wrap="auto" w:vAnchor="margin" w:hAnchor="text" w:yAlign="inline"/>
              <w:spacing w:before="0" w:after="0"/>
            </w:pPr>
            <w:r>
              <w:t>Service coverage</w:t>
            </w:r>
          </w:p>
        </w:tc>
      </w:tr>
      <w:tr w:rsidR="00F35CAF" w:rsidRPr="00DE0966" w:rsidTr="00F35CAF">
        <w:trPr>
          <w:trHeight w:val="23"/>
        </w:trPr>
        <w:tc>
          <w:tcPr>
            <w:tcW w:w="2042" w:type="dxa"/>
            <w:tcBorders>
              <w:top w:val="nil"/>
              <w:bottom w:val="nil"/>
            </w:tcBorders>
            <w:shd w:val="clear" w:color="000000" w:fill="E6F0FA"/>
          </w:tcPr>
          <w:p w:rsidR="00F35CAF" w:rsidRPr="007614BE" w:rsidRDefault="00F35CAF" w:rsidP="00F35CAF">
            <w:pPr>
              <w:spacing w:after="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F35CAF" w:rsidRDefault="00F35CAF" w:rsidP="00F35CAF">
            <w:pPr>
              <w:pStyle w:val="IndicatorText"/>
              <w:framePr w:hSpace="0" w:wrap="auto" w:vAnchor="margin" w:hAnchor="text" w:yAlign="inline"/>
              <w:spacing w:before="0" w:after="0"/>
            </w:pPr>
            <w:r w:rsidRPr="00892A7B">
              <w:t xml:space="preserve">Reproductive, </w:t>
            </w:r>
            <w:r>
              <w:t>m</w:t>
            </w:r>
            <w:r w:rsidRPr="00892A7B">
              <w:t xml:space="preserve">aternal, </w:t>
            </w:r>
            <w:r>
              <w:t>n</w:t>
            </w:r>
            <w:r w:rsidRPr="00892A7B">
              <w:t xml:space="preserve">ewborn, </w:t>
            </w:r>
            <w:r>
              <w:t>c</w:t>
            </w:r>
            <w:r w:rsidRPr="00892A7B">
              <w:t xml:space="preserve">hild and </w:t>
            </w:r>
            <w:r>
              <w:t>a</w:t>
            </w:r>
            <w:r w:rsidRPr="00892A7B">
              <w:t xml:space="preserve">dolescent </w:t>
            </w:r>
            <w:r>
              <w:t>h</w:t>
            </w:r>
            <w:r w:rsidRPr="00892A7B">
              <w:t>ealth</w:t>
            </w:r>
          </w:p>
        </w:tc>
      </w:tr>
      <w:tr w:rsidR="00F35CAF" w:rsidRPr="00DE0966" w:rsidTr="00F35CAF">
        <w:trPr>
          <w:trHeight w:val="23"/>
        </w:trPr>
        <w:tc>
          <w:tcPr>
            <w:tcW w:w="2042" w:type="dxa"/>
            <w:tcBorders>
              <w:top w:val="nil"/>
              <w:bottom w:val="nil"/>
            </w:tcBorders>
            <w:shd w:val="clear" w:color="000000" w:fill="E6F0FA"/>
          </w:tcPr>
          <w:p w:rsidR="00F35CAF" w:rsidRPr="007614BE" w:rsidRDefault="00F35CAF" w:rsidP="00F35CAF">
            <w:pPr>
              <w:spacing w:after="0"/>
              <w:rPr>
                <w:rFonts w:eastAsia="Times New Roman" w:cstheme="minorHAnsi"/>
                <w:color w:val="003366"/>
                <w:sz w:val="16"/>
                <w:szCs w:val="16"/>
              </w:rPr>
            </w:pPr>
            <w:r w:rsidRPr="007614BE">
              <w:rPr>
                <w:rFonts w:eastAsia="Times New Roman" w:cstheme="minorHAnsi"/>
                <w:color w:val="003366"/>
                <w:sz w:val="16"/>
                <w:szCs w:val="16"/>
              </w:rPr>
              <w:t>Associated terms</w:t>
            </w:r>
          </w:p>
        </w:tc>
        <w:tc>
          <w:tcPr>
            <w:tcW w:w="7654" w:type="dxa"/>
            <w:shd w:val="clear" w:color="auto" w:fill="auto"/>
          </w:tcPr>
          <w:p w:rsidR="00F35CAF" w:rsidRDefault="00F35CAF" w:rsidP="00F35CAF">
            <w:pPr>
              <w:pStyle w:val="IndicatorText"/>
              <w:framePr w:hSpace="0" w:wrap="auto" w:vAnchor="margin" w:hAnchor="text" w:yAlign="inline"/>
              <w:spacing w:before="0" w:after="0"/>
            </w:pPr>
            <w:r w:rsidRPr="002B29F1">
              <w:t>Reproductive, maternal, newb</w:t>
            </w:r>
            <w:r>
              <w:t>orn, child and adolescent</w:t>
            </w:r>
          </w:p>
        </w:tc>
      </w:tr>
      <w:tr w:rsidR="00F35CAF" w:rsidRPr="00DE0966" w:rsidTr="00F35CAF">
        <w:trPr>
          <w:trHeight w:val="23"/>
        </w:trPr>
        <w:tc>
          <w:tcPr>
            <w:tcW w:w="2042" w:type="dxa"/>
            <w:tcBorders>
              <w:top w:val="nil"/>
              <w:bottom w:val="nil"/>
            </w:tcBorders>
            <w:shd w:val="clear" w:color="000000" w:fill="E6F0FA"/>
          </w:tcPr>
          <w:p w:rsidR="00F35CAF" w:rsidRPr="007614BE" w:rsidRDefault="00F35CAF" w:rsidP="00F35CAF">
            <w:pPr>
              <w:spacing w:after="0"/>
              <w:rPr>
                <w:rFonts w:eastAsia="Times New Roman" w:cstheme="minorHAnsi"/>
                <w:color w:val="003366"/>
                <w:sz w:val="16"/>
                <w:szCs w:val="16"/>
              </w:rPr>
            </w:pPr>
            <w:r w:rsidRPr="007614BE">
              <w:rPr>
                <w:rFonts w:eastAsia="Times New Roman" w:cstheme="minorHAnsi"/>
                <w:color w:val="003366"/>
                <w:sz w:val="16"/>
                <w:szCs w:val="16"/>
              </w:rPr>
              <w:t>Definition</w:t>
            </w:r>
          </w:p>
        </w:tc>
        <w:tc>
          <w:tcPr>
            <w:tcW w:w="7654" w:type="dxa"/>
            <w:shd w:val="clear" w:color="auto" w:fill="auto"/>
          </w:tcPr>
          <w:p w:rsidR="00F35CAF" w:rsidRDefault="00F35CAF" w:rsidP="00F35CAF">
            <w:pPr>
              <w:pStyle w:val="IndicatorText"/>
              <w:framePr w:hSpace="0" w:wrap="auto" w:vAnchor="margin" w:hAnchor="text" w:yAlign="inline"/>
              <w:spacing w:before="0" w:after="0"/>
            </w:pPr>
            <w:r>
              <w:t>Percentage of women of reproductive age (15</w:t>
            </w:r>
            <w:r>
              <w:sym w:font="Symbol" w:char="F02D"/>
            </w:r>
            <w:r>
              <w:t>49 years) who are sexually active and who have their need for family planning satisfied with modern methods.</w:t>
            </w:r>
          </w:p>
        </w:tc>
      </w:tr>
      <w:tr w:rsidR="00F35CAF" w:rsidRPr="00DE0966" w:rsidTr="00F35CAF">
        <w:trPr>
          <w:trHeight w:val="23"/>
        </w:trPr>
        <w:tc>
          <w:tcPr>
            <w:tcW w:w="2042" w:type="dxa"/>
            <w:tcBorders>
              <w:top w:val="nil"/>
              <w:bottom w:val="nil"/>
            </w:tcBorders>
            <w:shd w:val="clear" w:color="000000" w:fill="E6F0FA"/>
          </w:tcPr>
          <w:p w:rsidR="00F35CAF" w:rsidRPr="007614BE" w:rsidRDefault="00F35CAF" w:rsidP="00F35CAF">
            <w:pPr>
              <w:spacing w:after="0"/>
              <w:rPr>
                <w:rFonts w:eastAsia="Times New Roman" w:cstheme="minorHAnsi"/>
                <w:color w:val="003366"/>
                <w:sz w:val="16"/>
                <w:szCs w:val="16"/>
              </w:rPr>
            </w:pPr>
            <w:r w:rsidRPr="007614BE">
              <w:rPr>
                <w:rFonts w:eastAsia="Times New Roman" w:cstheme="minorHAnsi"/>
                <w:color w:val="003366"/>
                <w:sz w:val="16"/>
                <w:szCs w:val="16"/>
              </w:rPr>
              <w:t>Numerator</w:t>
            </w:r>
          </w:p>
        </w:tc>
        <w:tc>
          <w:tcPr>
            <w:tcW w:w="7654" w:type="dxa"/>
            <w:shd w:val="clear" w:color="auto" w:fill="auto"/>
          </w:tcPr>
          <w:p w:rsidR="00F35CAF" w:rsidRDefault="00F35CAF" w:rsidP="00F35CAF">
            <w:pPr>
              <w:pStyle w:val="IndicatorText"/>
              <w:framePr w:hSpace="0" w:wrap="auto" w:vAnchor="margin" w:hAnchor="text" w:yAlign="inline"/>
              <w:spacing w:before="0" w:after="0"/>
            </w:pPr>
            <w:r>
              <w:t>Number of women with family planning demand who use modern methods</w:t>
            </w:r>
          </w:p>
        </w:tc>
      </w:tr>
      <w:tr w:rsidR="00F35CAF" w:rsidRPr="00DE0966" w:rsidTr="00F35CAF">
        <w:trPr>
          <w:trHeight w:val="62"/>
        </w:trPr>
        <w:tc>
          <w:tcPr>
            <w:tcW w:w="2042" w:type="dxa"/>
            <w:tcBorders>
              <w:top w:val="nil"/>
              <w:bottom w:val="nil"/>
            </w:tcBorders>
            <w:shd w:val="clear" w:color="000000" w:fill="E6F0FA"/>
          </w:tcPr>
          <w:p w:rsidR="00F35CAF" w:rsidRPr="007614BE" w:rsidRDefault="00F35CAF" w:rsidP="00F35CAF">
            <w:pPr>
              <w:spacing w:after="0"/>
              <w:rPr>
                <w:rFonts w:eastAsia="Times New Roman" w:cstheme="minorHAnsi"/>
                <w:color w:val="003366"/>
                <w:sz w:val="16"/>
                <w:szCs w:val="16"/>
              </w:rPr>
            </w:pPr>
            <w:r w:rsidRPr="007614BE">
              <w:rPr>
                <w:rFonts w:eastAsia="Times New Roman" w:cstheme="minorHAnsi"/>
                <w:color w:val="003366"/>
                <w:sz w:val="16"/>
                <w:szCs w:val="16"/>
              </w:rPr>
              <w:t>Denominator</w:t>
            </w:r>
          </w:p>
        </w:tc>
        <w:tc>
          <w:tcPr>
            <w:tcW w:w="7654" w:type="dxa"/>
            <w:shd w:val="clear" w:color="auto" w:fill="auto"/>
          </w:tcPr>
          <w:p w:rsidR="00F35CAF" w:rsidRDefault="00F35CAF" w:rsidP="00F35CAF">
            <w:pPr>
              <w:pStyle w:val="IndicatorText"/>
              <w:framePr w:hSpace="0" w:wrap="auto" w:vAnchor="margin" w:hAnchor="text" w:yAlign="inline"/>
              <w:spacing w:before="0" w:after="0"/>
            </w:pPr>
            <w:r>
              <w:t>Total number of women in need of family planning.</w:t>
            </w:r>
          </w:p>
        </w:tc>
      </w:tr>
      <w:tr w:rsidR="00F35CAF" w:rsidRPr="00DE0966" w:rsidTr="00F35CAF">
        <w:trPr>
          <w:trHeight w:val="268"/>
        </w:trPr>
        <w:tc>
          <w:tcPr>
            <w:tcW w:w="2042" w:type="dxa"/>
            <w:tcBorders>
              <w:top w:val="nil"/>
              <w:bottom w:val="nil"/>
            </w:tcBorders>
            <w:shd w:val="clear" w:color="000000" w:fill="E6F0FA"/>
          </w:tcPr>
          <w:p w:rsidR="00F35CAF" w:rsidRPr="007614BE" w:rsidRDefault="00F35CAF" w:rsidP="00F35CAF">
            <w:pPr>
              <w:spacing w:after="0"/>
              <w:rPr>
                <w:rFonts w:eastAsia="Times New Roman" w:cstheme="minorHAnsi"/>
                <w:color w:val="003366"/>
                <w:sz w:val="16"/>
                <w:szCs w:val="16"/>
              </w:rPr>
            </w:pPr>
            <w:r w:rsidRPr="007614BE">
              <w:rPr>
                <w:rFonts w:eastAsia="Times New Roman" w:cstheme="minorHAnsi"/>
                <w:color w:val="003366"/>
                <w:sz w:val="16"/>
                <w:szCs w:val="16"/>
              </w:rPr>
              <w:t>Disaggregation/</w:t>
            </w:r>
            <w:r w:rsidRPr="007614BE">
              <w:rPr>
                <w:rFonts w:eastAsia="Times New Roman" w:cstheme="minorHAnsi"/>
                <w:color w:val="003366"/>
                <w:sz w:val="16"/>
                <w:szCs w:val="16"/>
              </w:rPr>
              <w:br/>
              <w:t>additional dimension</w:t>
            </w:r>
          </w:p>
        </w:tc>
        <w:tc>
          <w:tcPr>
            <w:tcW w:w="7654" w:type="dxa"/>
            <w:shd w:val="clear" w:color="auto" w:fill="auto"/>
          </w:tcPr>
          <w:p w:rsidR="00F35CAF" w:rsidRDefault="00F35CAF" w:rsidP="00F35CAF">
            <w:pPr>
              <w:pStyle w:val="IndicatorText"/>
              <w:framePr w:hSpace="0" w:wrap="auto" w:vAnchor="margin" w:hAnchor="text" w:yAlign="inline"/>
              <w:spacing w:before="0" w:after="0"/>
            </w:pPr>
            <w:r>
              <w:t>Age, marital status, place of residence, socioeconomic status</w:t>
            </w:r>
          </w:p>
        </w:tc>
      </w:tr>
      <w:tr w:rsidR="00F35CAF" w:rsidRPr="00DE0966" w:rsidTr="00F35CAF">
        <w:trPr>
          <w:trHeight w:val="122"/>
        </w:trPr>
        <w:tc>
          <w:tcPr>
            <w:tcW w:w="2042" w:type="dxa"/>
            <w:tcBorders>
              <w:top w:val="nil"/>
              <w:bottom w:val="nil"/>
            </w:tcBorders>
            <w:shd w:val="clear" w:color="000000" w:fill="E6F0FA"/>
          </w:tcPr>
          <w:p w:rsidR="00F35CAF" w:rsidRPr="007614BE" w:rsidRDefault="00F35CAF" w:rsidP="00F35CAF">
            <w:pPr>
              <w:spacing w:before="80" w:after="80"/>
              <w:rPr>
                <w:rFonts w:eastAsia="Times New Roman" w:cstheme="minorHAnsi"/>
                <w:color w:val="003366"/>
                <w:sz w:val="16"/>
                <w:szCs w:val="16"/>
              </w:rPr>
            </w:pPr>
            <w:r w:rsidRPr="007614BE">
              <w:rPr>
                <w:rFonts w:eastAsia="Times New Roman" w:cstheme="minorHAnsi"/>
                <w:color w:val="003366"/>
                <w:sz w:val="16"/>
                <w:szCs w:val="16"/>
              </w:rPr>
              <w:t>Method of measurement</w:t>
            </w:r>
          </w:p>
        </w:tc>
        <w:tc>
          <w:tcPr>
            <w:tcW w:w="7654" w:type="dxa"/>
            <w:shd w:val="clear" w:color="auto" w:fill="auto"/>
          </w:tcPr>
          <w:p w:rsidR="00F35CAF" w:rsidRDefault="00F35CAF" w:rsidP="00F35CAF">
            <w:pPr>
              <w:pStyle w:val="IndicatorText"/>
              <w:framePr w:hSpace="0" w:wrap="auto" w:vAnchor="margin" w:hAnchor="text" w:yAlign="inline"/>
            </w:pPr>
            <w:r>
              <w:t xml:space="preserve">Household surveys include a series of questions to measure modern contraceptive prevalence rate and demand for family planning. </w:t>
            </w:r>
          </w:p>
          <w:p w:rsidR="00F35CAF" w:rsidRDefault="00F35CAF" w:rsidP="00F35CAF">
            <w:pPr>
              <w:pStyle w:val="IndicatorText"/>
              <w:framePr w:hSpace="0" w:wrap="auto" w:vAnchor="margin" w:hAnchor="text" w:yAlign="inline"/>
            </w:pPr>
            <w:r>
              <w:t xml:space="preserve">Total demand for family planning is defined as the sum of the number of women of reproductive age (15–49 years) who are married or in a union and who are currently using, or whose sexual partner is currently using, at least one contraceptive method, and the unmet need for family planning. Unmet need for family planning is the proportion of women of reproductive age (15–49 years) either married or in a consensual union, who are fecund and sexually active but who are not using any method of contraception (modern or traditional), and report not wanting any more children or wanting to delay the birth of their next child for at least two years. Included are: (i) all pregnant women (married or in a consensual union) whose pregnancies were unwanted or mistimed at the time of conception; (ii) all postpartum </w:t>
            </w:r>
            <w:proofErr w:type="spellStart"/>
            <w:r>
              <w:t>amenorrhoeic</w:t>
            </w:r>
            <w:proofErr w:type="spellEnd"/>
            <w:r>
              <w:t xml:space="preserve"> women (married or in consensual union) who are not using family planning and whose last birth was unwanted or mistimed; (iii) all fecund women (married or in consensual union) who are neither pregnant nor postpartum </w:t>
            </w:r>
            <w:proofErr w:type="spellStart"/>
            <w:r>
              <w:t>amenorrhoeic</w:t>
            </w:r>
            <w:proofErr w:type="spellEnd"/>
            <w:r>
              <w:t>, and who either do not want any more children (want to limit family size), or who wish to postpone the birth of a child for at least two years or do not know when or if they want another child (want to space births), but are not using any contraceptive method.</w:t>
            </w:r>
          </w:p>
        </w:tc>
      </w:tr>
      <w:tr w:rsidR="00F35CAF" w:rsidRPr="00DE0966" w:rsidTr="00F35CAF">
        <w:trPr>
          <w:trHeight w:val="160"/>
        </w:trPr>
        <w:tc>
          <w:tcPr>
            <w:tcW w:w="2042" w:type="dxa"/>
            <w:tcBorders>
              <w:top w:val="nil"/>
              <w:bottom w:val="nil"/>
            </w:tcBorders>
            <w:shd w:val="clear" w:color="000000" w:fill="E6F0FA"/>
          </w:tcPr>
          <w:p w:rsidR="00F35CAF" w:rsidRPr="007614BE" w:rsidRDefault="00F35CAF" w:rsidP="00F35CAF">
            <w:pPr>
              <w:spacing w:before="80" w:after="80"/>
              <w:rPr>
                <w:rFonts w:eastAsia="Times New Roman" w:cstheme="minorHAnsi"/>
                <w:color w:val="003366"/>
                <w:sz w:val="16"/>
                <w:szCs w:val="16"/>
              </w:rPr>
            </w:pPr>
            <w:r w:rsidRPr="007614BE">
              <w:rPr>
                <w:rFonts w:eastAsia="Times New Roman" w:cstheme="minorHAnsi"/>
                <w:color w:val="003366"/>
                <w:sz w:val="16"/>
                <w:szCs w:val="16"/>
              </w:rPr>
              <w:t>Method of estimation</w:t>
            </w:r>
          </w:p>
        </w:tc>
        <w:tc>
          <w:tcPr>
            <w:tcW w:w="7654" w:type="dxa"/>
            <w:shd w:val="clear" w:color="auto" w:fill="auto"/>
          </w:tcPr>
          <w:p w:rsidR="00F35CAF" w:rsidRDefault="00F35CAF" w:rsidP="00F35CAF">
            <w:pPr>
              <w:pStyle w:val="IndicatorText"/>
              <w:framePr w:hSpace="0" w:wrap="auto" w:vAnchor="margin" w:hAnchor="text" w:yAlign="inline"/>
            </w:pPr>
          </w:p>
        </w:tc>
      </w:tr>
      <w:tr w:rsidR="00F35CAF" w:rsidRPr="00DE0966" w:rsidTr="00F35CAF">
        <w:trPr>
          <w:trHeight w:val="224"/>
        </w:trPr>
        <w:tc>
          <w:tcPr>
            <w:tcW w:w="2042" w:type="dxa"/>
            <w:tcBorders>
              <w:top w:val="nil"/>
              <w:bottom w:val="nil"/>
            </w:tcBorders>
            <w:shd w:val="clear" w:color="000000" w:fill="E6F0FA"/>
          </w:tcPr>
          <w:p w:rsidR="00F35CAF" w:rsidRPr="007614BE" w:rsidRDefault="00F35CAF" w:rsidP="00F35CAF">
            <w:pPr>
              <w:spacing w:before="80" w:after="80"/>
              <w:rPr>
                <w:rFonts w:eastAsia="Times New Roman" w:cstheme="minorHAnsi"/>
                <w:color w:val="003366"/>
                <w:sz w:val="16"/>
                <w:szCs w:val="16"/>
              </w:rPr>
            </w:pPr>
            <w:r w:rsidRPr="007614BE">
              <w:rPr>
                <w:rFonts w:eastAsia="Times New Roman" w:cstheme="minorHAnsi"/>
                <w:color w:val="003366"/>
                <w:sz w:val="16"/>
                <w:szCs w:val="16"/>
              </w:rPr>
              <w:t>Measurement frequency</w:t>
            </w:r>
          </w:p>
        </w:tc>
        <w:tc>
          <w:tcPr>
            <w:tcW w:w="7654" w:type="dxa"/>
            <w:shd w:val="clear" w:color="auto" w:fill="auto"/>
          </w:tcPr>
          <w:p w:rsidR="00F35CAF" w:rsidRPr="005E7236" w:rsidRDefault="00F35CAF" w:rsidP="00F35CAF">
            <w:pPr>
              <w:pStyle w:val="IndicatorText"/>
              <w:framePr w:hSpace="0" w:wrap="auto" w:vAnchor="margin" w:hAnchor="text" w:yAlign="inline"/>
            </w:pPr>
            <w:r>
              <w:t>Every 3</w:t>
            </w:r>
            <w:r w:rsidRPr="002B29F1">
              <w:sym w:font="Symbol" w:char="F02D"/>
            </w:r>
            <w:r>
              <w:t>5 years</w:t>
            </w:r>
          </w:p>
        </w:tc>
      </w:tr>
      <w:tr w:rsidR="00F35CAF" w:rsidRPr="00DE0966" w:rsidTr="00F35CAF">
        <w:trPr>
          <w:trHeight w:val="159"/>
        </w:trPr>
        <w:tc>
          <w:tcPr>
            <w:tcW w:w="2042" w:type="dxa"/>
            <w:tcBorders>
              <w:top w:val="nil"/>
              <w:bottom w:val="nil"/>
            </w:tcBorders>
            <w:shd w:val="clear" w:color="000000" w:fill="E6F0FA"/>
          </w:tcPr>
          <w:p w:rsidR="00F35CAF" w:rsidRPr="007614BE" w:rsidRDefault="00F35CAF" w:rsidP="00F35CAF">
            <w:pPr>
              <w:spacing w:before="80" w:after="80"/>
              <w:rPr>
                <w:rFonts w:eastAsia="Times New Roman" w:cstheme="minorHAnsi"/>
                <w:color w:val="003366"/>
                <w:sz w:val="16"/>
                <w:szCs w:val="16"/>
              </w:rPr>
            </w:pPr>
            <w:r w:rsidRPr="003634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7614BE">
              <w:rPr>
                <w:rFonts w:eastAsia="Times New Roman" w:cstheme="minorHAnsi"/>
                <w:color w:val="003366"/>
                <w:sz w:val="16"/>
                <w:szCs w:val="16"/>
              </w:rPr>
              <w:t>framework</w:t>
            </w:r>
          </w:p>
        </w:tc>
        <w:tc>
          <w:tcPr>
            <w:tcW w:w="7654" w:type="dxa"/>
            <w:shd w:val="clear" w:color="auto" w:fill="auto"/>
          </w:tcPr>
          <w:p w:rsidR="00F35CAF" w:rsidRPr="005E7236" w:rsidRDefault="00F35CAF" w:rsidP="00F35CAF">
            <w:pPr>
              <w:pStyle w:val="IndicatorText"/>
              <w:framePr w:hSpace="0" w:wrap="auto" w:vAnchor="margin" w:hAnchor="text" w:yAlign="inline"/>
            </w:pPr>
            <w:r w:rsidRPr="000F4975">
              <w:t>Outcome</w:t>
            </w:r>
          </w:p>
        </w:tc>
      </w:tr>
      <w:tr w:rsidR="00F35CAF" w:rsidRPr="00DE0966" w:rsidTr="00F35CAF">
        <w:trPr>
          <w:trHeight w:val="82"/>
        </w:trPr>
        <w:tc>
          <w:tcPr>
            <w:tcW w:w="2042" w:type="dxa"/>
            <w:tcBorders>
              <w:top w:val="nil"/>
              <w:bottom w:val="nil"/>
            </w:tcBorders>
            <w:shd w:val="clear" w:color="000000" w:fill="E6F0FA"/>
          </w:tcPr>
          <w:p w:rsidR="00F35CAF" w:rsidRPr="007614BE" w:rsidRDefault="00F35CAF" w:rsidP="00F35CAF">
            <w:pPr>
              <w:spacing w:before="80" w:after="80"/>
              <w:rPr>
                <w:rFonts w:eastAsia="Times New Roman" w:cstheme="minorHAnsi"/>
                <w:color w:val="003366"/>
                <w:sz w:val="16"/>
                <w:szCs w:val="16"/>
              </w:rPr>
            </w:pPr>
            <w:r w:rsidRPr="007614BE">
              <w:rPr>
                <w:rFonts w:eastAsia="Times New Roman" w:cstheme="minorHAnsi"/>
                <w:color w:val="003366"/>
                <w:sz w:val="16"/>
                <w:szCs w:val="16"/>
              </w:rPr>
              <w:t>Preferred data sources</w:t>
            </w:r>
          </w:p>
        </w:tc>
        <w:tc>
          <w:tcPr>
            <w:tcW w:w="7654" w:type="dxa"/>
            <w:shd w:val="clear" w:color="auto" w:fill="auto"/>
          </w:tcPr>
          <w:p w:rsidR="00F35CAF" w:rsidRPr="005E7236" w:rsidRDefault="00F35CAF" w:rsidP="00F35CAF">
            <w:pPr>
              <w:pStyle w:val="IndicatorText"/>
              <w:framePr w:hSpace="0" w:wrap="auto" w:vAnchor="margin" w:hAnchor="text" w:yAlign="inline"/>
            </w:pPr>
            <w:r>
              <w:t>Population-based health surveys</w:t>
            </w:r>
          </w:p>
        </w:tc>
      </w:tr>
      <w:tr w:rsidR="00F35CAF" w:rsidRPr="00DE0966" w:rsidTr="00F35CAF">
        <w:trPr>
          <w:trHeight w:val="160"/>
        </w:trPr>
        <w:tc>
          <w:tcPr>
            <w:tcW w:w="2042" w:type="dxa"/>
            <w:tcBorders>
              <w:top w:val="nil"/>
              <w:bottom w:val="nil"/>
            </w:tcBorders>
            <w:shd w:val="clear" w:color="000000" w:fill="E6F0FA"/>
          </w:tcPr>
          <w:p w:rsidR="00F35CAF" w:rsidRPr="007614BE" w:rsidRDefault="00F35CAF" w:rsidP="00F35CAF">
            <w:pPr>
              <w:spacing w:before="80" w:after="80"/>
              <w:rPr>
                <w:rFonts w:eastAsia="Times New Roman" w:cstheme="minorHAnsi"/>
                <w:color w:val="003366"/>
                <w:sz w:val="16"/>
                <w:szCs w:val="16"/>
              </w:rPr>
            </w:pPr>
            <w:r w:rsidRPr="007614BE">
              <w:rPr>
                <w:rFonts w:eastAsia="Times New Roman" w:cstheme="minorHAnsi"/>
                <w:color w:val="003366"/>
                <w:sz w:val="16"/>
                <w:szCs w:val="16"/>
              </w:rPr>
              <w:t>Other possible data sources</w:t>
            </w:r>
          </w:p>
        </w:tc>
        <w:tc>
          <w:tcPr>
            <w:tcW w:w="7654" w:type="dxa"/>
            <w:shd w:val="clear" w:color="auto" w:fill="auto"/>
          </w:tcPr>
          <w:p w:rsidR="00F35CAF" w:rsidRPr="005E7236" w:rsidRDefault="00F35CAF" w:rsidP="00F35CAF">
            <w:pPr>
              <w:pStyle w:val="IndicatorText"/>
              <w:framePr w:hSpace="0" w:wrap="auto" w:vAnchor="margin" w:hAnchor="text" w:yAlign="inline"/>
            </w:pPr>
          </w:p>
        </w:tc>
      </w:tr>
      <w:tr w:rsidR="00F35CAF" w:rsidRPr="00DE0966" w:rsidTr="00F35CAF">
        <w:trPr>
          <w:trHeight w:val="160"/>
        </w:trPr>
        <w:tc>
          <w:tcPr>
            <w:tcW w:w="2042" w:type="dxa"/>
            <w:tcBorders>
              <w:top w:val="nil"/>
              <w:bottom w:val="single" w:sz="4" w:space="0" w:color="A3BBD5"/>
            </w:tcBorders>
            <w:shd w:val="clear" w:color="000000" w:fill="E6F0FA"/>
          </w:tcPr>
          <w:p w:rsidR="00F35CAF" w:rsidRPr="007614BE" w:rsidRDefault="00F35CAF" w:rsidP="00F35CAF">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F35CAF" w:rsidRPr="005E7236" w:rsidRDefault="00F35CAF" w:rsidP="00F35CAF">
            <w:pPr>
              <w:pStyle w:val="IndicatorText"/>
              <w:framePr w:hSpace="0" w:wrap="auto" w:vAnchor="margin" w:hAnchor="text" w:yAlign="inline"/>
            </w:pPr>
            <w:r w:rsidRPr="005F6109">
              <w:rPr>
                <w:rFonts w:eastAsia="Times New Roman"/>
                <w:szCs w:val="16"/>
                <w:lang w:val="en-US"/>
              </w:rPr>
              <w:t>Countdown to 2015. Monitoring maternal, newborn and child health: understanding key progress indicators. Geneva: World Health Organization; 2011 (</w:t>
            </w:r>
            <w:r w:rsidRPr="0056160E">
              <w:rPr>
                <w:rFonts w:eastAsia="Times New Roman"/>
                <w:szCs w:val="16"/>
                <w:lang w:val="en-US"/>
              </w:rPr>
              <w:t>http://apps.who.int/iris/bitstream/10665/44770/1/9789241502818_eng.pdf</w:t>
            </w:r>
            <w:r w:rsidRPr="00467E32">
              <w:rPr>
                <w:rFonts w:eastAsia="Times New Roman"/>
                <w:szCs w:val="16"/>
                <w:lang w:val="en-US"/>
              </w:rPr>
              <w:t>, accessed 29 March 2015</w:t>
            </w:r>
            <w:r w:rsidRPr="005F6109">
              <w:rPr>
                <w:rFonts w:eastAsia="Times New Roman"/>
                <w:szCs w:val="16"/>
                <w:lang w:val="en-US"/>
              </w:rPr>
              <w:t>).</w:t>
            </w:r>
          </w:p>
          <w:p w:rsidR="00F35CAF" w:rsidRDefault="00F35CAF" w:rsidP="00F35CAF">
            <w:pPr>
              <w:pStyle w:val="IndicatorText"/>
              <w:framePr w:hSpace="0" w:wrap="auto" w:vAnchor="margin" w:hAnchor="text" w:yAlign="inline"/>
            </w:pPr>
            <w:r w:rsidRPr="00157A76">
              <w:rPr>
                <w:lang w:val="en-US"/>
              </w:rPr>
              <w:t>Framework of actions for the follow-up to the Programme of Action of the International Conference on Population and Development beyond 2014. Report of the Secretary-General. New York (NY): United Nations;</w:t>
            </w:r>
            <w:r>
              <w:rPr>
                <w:lang w:val="en-US"/>
              </w:rPr>
              <w:t xml:space="preserve"> </w:t>
            </w:r>
            <w:r w:rsidRPr="00157A76">
              <w:rPr>
                <w:lang w:val="en-US"/>
              </w:rPr>
              <w:t>2014 (</w:t>
            </w:r>
            <w:r w:rsidRPr="0056160E">
              <w:rPr>
                <w:lang w:val="en-US"/>
              </w:rPr>
              <w:t>https://www.unfpa.org/webdav/site/global/shared/documents/ICPD/Framework%20of%20action%20for%20the%20follow-up%20to%20the%20PoA%20of%20the%20ICPD.pdf</w:t>
            </w:r>
            <w:r w:rsidRPr="00157A76">
              <w:rPr>
                <w:lang w:val="en-US"/>
              </w:rPr>
              <w:t>, accessed 19 August 2014).</w:t>
            </w:r>
            <w:r w:rsidRPr="005D787F">
              <w:t xml:space="preserve"> </w:t>
            </w:r>
          </w:p>
          <w:p w:rsidR="00F35CAF" w:rsidRDefault="00F35CAF" w:rsidP="00F35CAF">
            <w:pPr>
              <w:pStyle w:val="IndicatorText"/>
              <w:framePr w:hSpace="0" w:wrap="auto" w:vAnchor="margin" w:hAnchor="text" w:yAlign="inline"/>
            </w:pPr>
            <w:r w:rsidRPr="00165F3E">
              <w:rPr>
                <w:lang w:val="en-US"/>
              </w:rPr>
              <w:t>Keeping promises, measuring results. Commission on information and accountability for Women’s and Children’s Health. Geneva: World Health Organization; 2011 (</w:t>
            </w:r>
            <w:r w:rsidRPr="0056160E">
              <w:rPr>
                <w:lang w:val="en-US"/>
              </w:rPr>
              <w:t>http://www.who.int/topics/millennium_development_goals/accountability_commission/Commission_Report_advance_copy.pdf</w:t>
            </w:r>
            <w:r w:rsidRPr="00165F3E">
              <w:rPr>
                <w:lang w:val="en-US"/>
              </w:rPr>
              <w:t>, accessed 29 March 2015).</w:t>
            </w:r>
          </w:p>
          <w:p w:rsidR="00F35CAF" w:rsidRDefault="00F35CAF" w:rsidP="00F35CAF">
            <w:pPr>
              <w:pStyle w:val="IndicatorText"/>
              <w:framePr w:hSpace="0" w:wrap="auto" w:vAnchor="margin" w:hAnchor="text" w:yAlign="inline"/>
            </w:pPr>
            <w:r w:rsidRPr="004A368D">
              <w:rPr>
                <w:lang w:val="en-US"/>
              </w:rPr>
              <w:t>Monitoring progress in family planning. FP2020 core indicators. Glastonbury (CT): Track20 (</w:t>
            </w:r>
            <w:r w:rsidRPr="0056160E">
              <w:rPr>
                <w:lang w:val="en-US"/>
              </w:rPr>
              <w:t>http://www.track20.org/pages/data/indicators</w:t>
            </w:r>
            <w:r w:rsidRPr="004A368D">
              <w:rPr>
                <w:lang w:val="en-US"/>
              </w:rPr>
              <w:t>, 21 March 2014).</w:t>
            </w:r>
          </w:p>
          <w:p w:rsidR="00F35CAF" w:rsidRPr="005E7236" w:rsidRDefault="00F35CAF" w:rsidP="00F35CAF">
            <w:pPr>
              <w:pStyle w:val="IndicatorText"/>
              <w:framePr w:hSpace="0" w:wrap="auto" w:vAnchor="margin" w:hAnchor="text" w:yAlign="inline"/>
            </w:pPr>
            <w:r w:rsidRPr="003E4796">
              <w:rPr>
                <w:lang w:val="en-US"/>
              </w:rPr>
              <w:t>World Health Assembly governing body documentation: official records. Geneva: World Health Organization (</w:t>
            </w:r>
            <w:r w:rsidRPr="0056160E">
              <w:rPr>
                <w:lang w:val="en-US"/>
              </w:rPr>
              <w:t>http://apps.who.int/gb/or/</w:t>
            </w:r>
            <w:r w:rsidRPr="003E4796">
              <w:rPr>
                <w:lang w:val="en-US"/>
              </w:rPr>
              <w:t>, accessed 29 March 2015).</w:t>
            </w:r>
          </w:p>
        </w:tc>
      </w:tr>
    </w:tbl>
    <w:p w:rsidR="00405F21" w:rsidRPr="00277801" w:rsidRDefault="00405F21" w:rsidP="00405F2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8</w:t>
      </w:r>
      <w:r w:rsidRPr="00277801">
        <w:rPr>
          <w:color w:val="FFFFFF" w:themeColor="background1"/>
        </w:rPr>
        <w:t xml:space="preserve">: </w:t>
      </w:r>
      <w:r>
        <w:rPr>
          <w:color w:val="FFFFFF" w:themeColor="background1"/>
        </w:rPr>
        <w:tab/>
      </w:r>
      <w:r w:rsidRPr="00405F21">
        <w:rPr>
          <w:color w:val="FFFFFF" w:themeColor="background1"/>
        </w:rPr>
        <w:t>Achieve universal health coverage, including financial risk protection, access to quality essential health-care services and access to safe, effective, quality and affordable essential medicines and vaccines for all</w:t>
      </w:r>
    </w:p>
    <w:p w:rsidR="006A719A" w:rsidRPr="006A719A" w:rsidRDefault="00405F21" w:rsidP="006A719A">
      <w:pPr>
        <w:pStyle w:val="Tablesub-heading"/>
      </w:pPr>
      <w:r>
        <w:t>Indicator 3.8.1:</w:t>
      </w:r>
      <w:r>
        <w:tab/>
      </w:r>
      <w:commentRangeStart w:id="19"/>
      <w:r w:rsidR="00F35CAF" w:rsidRPr="00F35CAF">
        <w:t>Fraction of the population protected against impoverishment by out-of-pocket health expenditures</w:t>
      </w:r>
      <w:commentRangeEnd w:id="19"/>
      <w:r>
        <w:rPr>
          <w:rStyle w:val="CommentReference"/>
          <w:rFonts w:ascii="Garamond" w:eastAsia="SimSun" w:hAnsi="Garamond" w:cs="Times New Roman"/>
          <w:b w:val="0"/>
          <w:bCs w:val="0"/>
          <w:noProof w:val="0"/>
          <w:color w:val="auto"/>
          <w:lang w:val="en-US"/>
        </w:rPr>
        <w:commentReference w:id="19"/>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6A719A" w:rsidRPr="00DE0966" w:rsidTr="002919FB">
        <w:trPr>
          <w:trHeight w:val="117"/>
        </w:trPr>
        <w:tc>
          <w:tcPr>
            <w:tcW w:w="2042" w:type="dxa"/>
            <w:tcBorders>
              <w:top w:val="single" w:sz="4" w:space="0" w:color="A3BBD5"/>
              <w:bottom w:val="nil"/>
            </w:tcBorders>
            <w:shd w:val="clear" w:color="000000" w:fill="E6F0FA"/>
            <w:hideMark/>
          </w:tcPr>
          <w:p w:rsidR="006A719A" w:rsidRPr="00F90B32" w:rsidRDefault="006A719A" w:rsidP="002919FB">
            <w:pPr>
              <w:spacing w:before="20" w:after="2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6A719A" w:rsidRPr="005E7236" w:rsidRDefault="00CD19B8" w:rsidP="002919FB">
            <w:pPr>
              <w:pStyle w:val="IndicatorName"/>
              <w:framePr w:hSpace="0" w:wrap="auto" w:vAnchor="margin" w:hAnchor="text" w:yAlign="inline"/>
              <w:spacing w:beforeLines="0" w:before="20"/>
            </w:pPr>
            <w:r>
              <w:t>Coverage of tracer interventions</w:t>
            </w:r>
          </w:p>
        </w:tc>
      </w:tr>
      <w:tr w:rsidR="006A719A" w:rsidRPr="00DE0966" w:rsidTr="002919FB">
        <w:trPr>
          <w:trHeight w:val="35"/>
        </w:trPr>
        <w:tc>
          <w:tcPr>
            <w:tcW w:w="2042" w:type="dxa"/>
            <w:tcBorders>
              <w:top w:val="nil"/>
              <w:bottom w:val="nil"/>
            </w:tcBorders>
            <w:shd w:val="clear" w:color="000000" w:fill="E6F0FA"/>
            <w:hideMark/>
          </w:tcPr>
          <w:p w:rsidR="006A719A" w:rsidRPr="00F90B32" w:rsidRDefault="006A719A" w:rsidP="002919FB">
            <w:pPr>
              <w:spacing w:before="20" w:after="20"/>
              <w:rPr>
                <w:rFonts w:eastAsia="Times New Roman" w:cstheme="minorHAnsi"/>
                <w:color w:val="003366"/>
                <w:sz w:val="16"/>
                <w:szCs w:val="16"/>
              </w:rPr>
            </w:pPr>
            <w:r w:rsidRPr="00F90B32">
              <w:rPr>
                <w:rFonts w:eastAsia="Times New Roman" w:cstheme="minorHAnsi"/>
                <w:color w:val="003366"/>
                <w:sz w:val="16"/>
                <w:szCs w:val="16"/>
              </w:rPr>
              <w:t>Indicator name</w:t>
            </w:r>
          </w:p>
        </w:tc>
        <w:tc>
          <w:tcPr>
            <w:tcW w:w="7654" w:type="dxa"/>
            <w:shd w:val="clear" w:color="auto" w:fill="auto"/>
          </w:tcPr>
          <w:p w:rsidR="006A719A" w:rsidRPr="005E7236" w:rsidRDefault="00CD19B8" w:rsidP="00CD19B8">
            <w:pPr>
              <w:pStyle w:val="IndicatorText"/>
              <w:framePr w:hSpace="0" w:wrap="auto" w:vAnchor="margin" w:hAnchor="text" w:yAlign="inline"/>
              <w:spacing w:before="20" w:after="20"/>
            </w:pPr>
            <w:r w:rsidRPr="00CD19B8">
              <w:t>Coverage of tracer interventions</w:t>
            </w:r>
            <w:r>
              <w:t xml:space="preserve"> for prevention and treatment services</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20" w:after="20"/>
              <w:rPr>
                <w:rFonts w:eastAsia="Times New Roman" w:cstheme="minorHAnsi"/>
                <w:color w:val="003366"/>
                <w:sz w:val="16"/>
                <w:szCs w:val="16"/>
              </w:rPr>
            </w:pPr>
            <w:r w:rsidRPr="00F90B32">
              <w:rPr>
                <w:rFonts w:eastAsia="Times New Roman" w:cstheme="minorHAnsi"/>
                <w:color w:val="003366"/>
                <w:sz w:val="16"/>
                <w:szCs w:val="16"/>
              </w:rPr>
              <w:t>Domain</w:t>
            </w:r>
          </w:p>
        </w:tc>
        <w:tc>
          <w:tcPr>
            <w:tcW w:w="7654" w:type="dxa"/>
            <w:shd w:val="clear" w:color="auto" w:fill="auto"/>
          </w:tcPr>
          <w:p w:rsidR="006A719A" w:rsidRDefault="006A719A" w:rsidP="002919FB">
            <w:pPr>
              <w:pStyle w:val="IndicatorText"/>
              <w:framePr w:hSpace="0" w:wrap="auto" w:vAnchor="margin" w:hAnchor="text" w:yAlign="inline"/>
              <w:spacing w:before="20" w:after="20"/>
            </w:pP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20" w:after="2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6A719A" w:rsidRDefault="006A719A" w:rsidP="002919FB">
            <w:pPr>
              <w:pStyle w:val="IndicatorText"/>
              <w:framePr w:hSpace="0" w:wrap="auto" w:vAnchor="margin" w:hAnchor="text" w:yAlign="inline"/>
              <w:spacing w:before="20" w:after="20"/>
            </w:pP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20" w:after="20"/>
              <w:rPr>
                <w:rFonts w:eastAsia="Times New Roman" w:cstheme="minorHAnsi"/>
                <w:color w:val="003366"/>
                <w:sz w:val="16"/>
                <w:szCs w:val="16"/>
              </w:rPr>
            </w:pPr>
            <w:r w:rsidRPr="00F90B32">
              <w:rPr>
                <w:rFonts w:eastAsia="Times New Roman" w:cstheme="minorHAnsi"/>
                <w:color w:val="003366"/>
                <w:sz w:val="16"/>
                <w:szCs w:val="16"/>
              </w:rPr>
              <w:t>Associated terms</w:t>
            </w:r>
          </w:p>
        </w:tc>
        <w:tc>
          <w:tcPr>
            <w:tcW w:w="7654" w:type="dxa"/>
            <w:shd w:val="clear" w:color="auto" w:fill="auto"/>
          </w:tcPr>
          <w:p w:rsidR="006A719A" w:rsidRDefault="006A719A" w:rsidP="002919FB">
            <w:pPr>
              <w:pStyle w:val="IndicatorText"/>
              <w:framePr w:hSpace="0" w:wrap="auto" w:vAnchor="margin" w:hAnchor="text" w:yAlign="inline"/>
              <w:spacing w:before="20" w:after="20"/>
            </w:pP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20" w:after="20"/>
              <w:rPr>
                <w:rFonts w:eastAsia="Times New Roman" w:cstheme="minorHAnsi"/>
                <w:color w:val="003366"/>
                <w:sz w:val="16"/>
                <w:szCs w:val="16"/>
              </w:rPr>
            </w:pPr>
            <w:r w:rsidRPr="00F90B32">
              <w:rPr>
                <w:rFonts w:eastAsia="Times New Roman" w:cstheme="minorHAnsi"/>
                <w:color w:val="003366"/>
                <w:sz w:val="16"/>
                <w:szCs w:val="16"/>
              </w:rPr>
              <w:t>Definition</w:t>
            </w:r>
          </w:p>
        </w:tc>
        <w:tc>
          <w:tcPr>
            <w:tcW w:w="7654" w:type="dxa"/>
            <w:shd w:val="clear" w:color="auto" w:fill="auto"/>
          </w:tcPr>
          <w:p w:rsidR="006A719A" w:rsidRDefault="00CD19B8" w:rsidP="00CD19B8">
            <w:pPr>
              <w:pStyle w:val="IndicatorText"/>
              <w:framePr w:hSpace="0" w:wrap="auto" w:vAnchor="margin" w:hAnchor="text" w:yAlign="inline"/>
              <w:spacing w:before="20" w:after="20"/>
            </w:pPr>
            <w:r w:rsidRPr="00CD19B8">
              <w:rPr>
                <w:u w:val="single"/>
              </w:rPr>
              <w:t>Tracer interventions for prevention services include</w:t>
            </w:r>
            <w:r>
              <w:t>: Adequate sanitation, non-use of tobacco, improved water source, family planning needs satisfied, antenatal care (at least four visits), measles vaccination</w:t>
            </w:r>
          </w:p>
          <w:p w:rsidR="00CD19B8" w:rsidRDefault="00CD19B8" w:rsidP="00CD19B8">
            <w:pPr>
              <w:pStyle w:val="IndicatorText"/>
              <w:framePr w:hSpace="0" w:wrap="auto" w:vAnchor="margin" w:hAnchor="text" w:yAlign="inline"/>
              <w:spacing w:before="20" w:after="20"/>
            </w:pPr>
            <w:r w:rsidRPr="00CD19B8">
              <w:rPr>
                <w:u w:val="single"/>
              </w:rPr>
              <w:t>Tracer interventions for treatment services include</w:t>
            </w:r>
            <w:r>
              <w:t>: skilled birth attendance, antiretroviral therapy, tuberculosis case detection, tuberculosis treatment success, hypertension treatment, diabetes treatment</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20" w:after="20"/>
              <w:rPr>
                <w:rFonts w:eastAsia="Times New Roman" w:cstheme="minorHAnsi"/>
                <w:color w:val="003366"/>
                <w:sz w:val="16"/>
                <w:szCs w:val="16"/>
              </w:rPr>
            </w:pPr>
            <w:r w:rsidRPr="00F90B32">
              <w:rPr>
                <w:rFonts w:eastAsia="Times New Roman" w:cstheme="minorHAnsi"/>
                <w:color w:val="003366"/>
                <w:sz w:val="16"/>
                <w:szCs w:val="16"/>
              </w:rPr>
              <w:t>Numerator</w:t>
            </w:r>
          </w:p>
        </w:tc>
        <w:tc>
          <w:tcPr>
            <w:tcW w:w="7654" w:type="dxa"/>
            <w:shd w:val="clear" w:color="auto" w:fill="auto"/>
          </w:tcPr>
          <w:p w:rsidR="006A719A" w:rsidRDefault="006A719A" w:rsidP="002919FB">
            <w:pPr>
              <w:pStyle w:val="IndicatorText"/>
              <w:framePr w:hSpace="0" w:wrap="auto" w:vAnchor="margin" w:hAnchor="text" w:yAlign="inline"/>
              <w:spacing w:before="20" w:after="20"/>
            </w:pPr>
          </w:p>
        </w:tc>
      </w:tr>
      <w:tr w:rsidR="006A719A" w:rsidRPr="00DE0966" w:rsidTr="002919FB">
        <w:trPr>
          <w:trHeight w:val="62"/>
        </w:trPr>
        <w:tc>
          <w:tcPr>
            <w:tcW w:w="2042" w:type="dxa"/>
            <w:tcBorders>
              <w:top w:val="nil"/>
              <w:bottom w:val="nil"/>
            </w:tcBorders>
            <w:shd w:val="clear" w:color="000000" w:fill="E6F0FA"/>
          </w:tcPr>
          <w:p w:rsidR="006A719A" w:rsidRPr="00F90B32" w:rsidRDefault="006A719A" w:rsidP="002919FB">
            <w:pPr>
              <w:spacing w:before="20" w:after="20"/>
              <w:rPr>
                <w:rFonts w:eastAsia="Times New Roman" w:cstheme="minorHAnsi"/>
                <w:color w:val="003366"/>
                <w:sz w:val="16"/>
                <w:szCs w:val="16"/>
              </w:rPr>
            </w:pPr>
            <w:r w:rsidRPr="00F90B32">
              <w:rPr>
                <w:rFonts w:eastAsia="Times New Roman" w:cstheme="minorHAnsi"/>
                <w:color w:val="003366"/>
                <w:sz w:val="16"/>
                <w:szCs w:val="16"/>
              </w:rPr>
              <w:t>Denominator</w:t>
            </w:r>
          </w:p>
        </w:tc>
        <w:tc>
          <w:tcPr>
            <w:tcW w:w="7654" w:type="dxa"/>
            <w:shd w:val="clear" w:color="auto" w:fill="auto"/>
          </w:tcPr>
          <w:p w:rsidR="006A719A" w:rsidRDefault="006A719A" w:rsidP="002919FB">
            <w:pPr>
              <w:pStyle w:val="IndicatorText"/>
              <w:framePr w:hSpace="0" w:wrap="auto" w:vAnchor="margin" w:hAnchor="text" w:yAlign="inline"/>
              <w:spacing w:before="20" w:after="20"/>
            </w:pPr>
          </w:p>
        </w:tc>
      </w:tr>
      <w:tr w:rsidR="006A719A" w:rsidRPr="00DE0966" w:rsidTr="002919FB">
        <w:trPr>
          <w:trHeight w:val="268"/>
        </w:trPr>
        <w:tc>
          <w:tcPr>
            <w:tcW w:w="2042" w:type="dxa"/>
            <w:tcBorders>
              <w:top w:val="nil"/>
              <w:bottom w:val="nil"/>
            </w:tcBorders>
            <w:shd w:val="clear" w:color="000000" w:fill="E6F0FA"/>
          </w:tcPr>
          <w:p w:rsidR="006A719A" w:rsidRPr="00F90B32" w:rsidRDefault="006A719A" w:rsidP="002919FB">
            <w:pPr>
              <w:spacing w:before="20" w:after="20"/>
              <w:rPr>
                <w:rFonts w:eastAsia="Times New Roman" w:cstheme="minorHAnsi"/>
                <w:color w:val="003366"/>
                <w:sz w:val="16"/>
                <w:szCs w:val="16"/>
              </w:rPr>
            </w:pPr>
            <w:r w:rsidRPr="00F90B32">
              <w:rPr>
                <w:rFonts w:eastAsia="Times New Roman" w:cstheme="minorHAnsi"/>
                <w:color w:val="003366"/>
                <w:sz w:val="16"/>
                <w:szCs w:val="16"/>
              </w:rPr>
              <w:t>Disaggregation/</w:t>
            </w:r>
            <w:r w:rsidRPr="00F90B32">
              <w:rPr>
                <w:rFonts w:eastAsia="Times New Roman" w:cstheme="minorHAnsi"/>
                <w:color w:val="003366"/>
                <w:sz w:val="16"/>
                <w:szCs w:val="16"/>
              </w:rPr>
              <w:br/>
              <w:t>additional dimension</w:t>
            </w:r>
          </w:p>
        </w:tc>
        <w:tc>
          <w:tcPr>
            <w:tcW w:w="7654" w:type="dxa"/>
            <w:shd w:val="clear" w:color="auto" w:fill="auto"/>
          </w:tcPr>
          <w:p w:rsidR="006A719A" w:rsidRDefault="007E4492" w:rsidP="007E4492">
            <w:pPr>
              <w:pStyle w:val="IndicatorText"/>
              <w:framePr w:hSpace="0" w:wrap="auto" w:vAnchor="margin" w:hAnchor="text" w:yAlign="inline"/>
              <w:spacing w:before="20" w:after="20"/>
            </w:pPr>
            <w:r>
              <w:t>By domain (</w:t>
            </w:r>
            <w:r w:rsidR="00CD19B8" w:rsidRPr="00CD19B8">
              <w:t xml:space="preserve">child full immunization, ARV therapy, TB treatment, hypertension treatment, skilled birth attendance, </w:t>
            </w:r>
            <w:proofErr w:type="spellStart"/>
            <w:r w:rsidR="00CD19B8" w:rsidRPr="00CD19B8">
              <w:t>etc</w:t>
            </w:r>
            <w:proofErr w:type="spellEnd"/>
          </w:p>
        </w:tc>
      </w:tr>
      <w:tr w:rsidR="006A719A" w:rsidRPr="00DE0966" w:rsidTr="002919FB">
        <w:trPr>
          <w:trHeight w:val="122"/>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Method of measurement</w:t>
            </w:r>
          </w:p>
        </w:tc>
        <w:tc>
          <w:tcPr>
            <w:tcW w:w="7654" w:type="dxa"/>
            <w:shd w:val="clear" w:color="auto" w:fill="auto"/>
          </w:tcPr>
          <w:p w:rsidR="006A719A" w:rsidRPr="00C63FC7" w:rsidRDefault="006A719A" w:rsidP="002919FB">
            <w:pPr>
              <w:pStyle w:val="IndicatorText"/>
              <w:framePr w:hSpace="0" w:wrap="auto" w:vAnchor="margin" w:hAnchor="text" w:yAlign="inline"/>
            </w:pPr>
          </w:p>
        </w:tc>
      </w:tr>
      <w:tr w:rsidR="006A719A" w:rsidRPr="00DE0966" w:rsidTr="002919FB">
        <w:trPr>
          <w:trHeight w:val="160"/>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Method of estimation</w:t>
            </w:r>
          </w:p>
        </w:tc>
        <w:tc>
          <w:tcPr>
            <w:tcW w:w="7654" w:type="dxa"/>
            <w:shd w:val="clear" w:color="auto" w:fill="auto"/>
          </w:tcPr>
          <w:p w:rsidR="006A719A" w:rsidRPr="00C63FC7" w:rsidRDefault="006A719A" w:rsidP="002919FB">
            <w:pPr>
              <w:pStyle w:val="IndicatorText"/>
              <w:framePr w:hSpace="0" w:wrap="auto" w:vAnchor="margin" w:hAnchor="text" w:yAlign="inline"/>
            </w:pPr>
          </w:p>
        </w:tc>
      </w:tr>
      <w:tr w:rsidR="006A719A" w:rsidRPr="00DE0966" w:rsidTr="002919FB">
        <w:trPr>
          <w:trHeight w:val="224"/>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Measurement frequency</w:t>
            </w:r>
          </w:p>
        </w:tc>
        <w:tc>
          <w:tcPr>
            <w:tcW w:w="7654" w:type="dxa"/>
            <w:shd w:val="clear" w:color="auto" w:fill="auto"/>
          </w:tcPr>
          <w:p w:rsidR="006A719A" w:rsidRPr="005E7236" w:rsidRDefault="006A719A" w:rsidP="002919FB">
            <w:pPr>
              <w:pStyle w:val="IndicatorText"/>
              <w:framePr w:hSpace="0" w:wrap="auto" w:vAnchor="margin" w:hAnchor="text" w:yAlign="inline"/>
            </w:pPr>
          </w:p>
        </w:tc>
      </w:tr>
      <w:tr w:rsidR="006A719A" w:rsidRPr="00DE0966" w:rsidTr="002919FB">
        <w:trPr>
          <w:trHeight w:val="159"/>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076D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F90B32">
              <w:rPr>
                <w:rFonts w:eastAsia="Times New Roman" w:cstheme="minorHAnsi"/>
                <w:color w:val="003366"/>
                <w:sz w:val="16"/>
                <w:szCs w:val="16"/>
              </w:rPr>
              <w:t>framework</w:t>
            </w:r>
          </w:p>
        </w:tc>
        <w:tc>
          <w:tcPr>
            <w:tcW w:w="7654" w:type="dxa"/>
            <w:shd w:val="clear" w:color="auto" w:fill="auto"/>
          </w:tcPr>
          <w:p w:rsidR="006A719A" w:rsidRPr="005E7236" w:rsidRDefault="006A719A" w:rsidP="002919FB">
            <w:pPr>
              <w:pStyle w:val="IndicatorText"/>
              <w:framePr w:hSpace="0" w:wrap="auto" w:vAnchor="margin" w:hAnchor="text" w:yAlign="inline"/>
            </w:pPr>
          </w:p>
        </w:tc>
      </w:tr>
      <w:tr w:rsidR="006A719A" w:rsidRPr="00DE0966" w:rsidTr="002919FB">
        <w:trPr>
          <w:trHeight w:val="82"/>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Preferred data sources</w:t>
            </w:r>
          </w:p>
        </w:tc>
        <w:tc>
          <w:tcPr>
            <w:tcW w:w="7654" w:type="dxa"/>
            <w:shd w:val="clear" w:color="auto" w:fill="auto"/>
          </w:tcPr>
          <w:p w:rsidR="006A719A" w:rsidRPr="005E7236" w:rsidRDefault="00CD19B8" w:rsidP="002919FB">
            <w:pPr>
              <w:pStyle w:val="IndicatorText"/>
              <w:framePr w:hSpace="0" w:wrap="auto" w:vAnchor="margin" w:hAnchor="text" w:yAlign="inline"/>
            </w:pPr>
            <w:r w:rsidRPr="00CD19B8">
              <w:t>household surveys and facility data</w:t>
            </w:r>
          </w:p>
        </w:tc>
      </w:tr>
      <w:tr w:rsidR="006A719A" w:rsidRPr="00DE0966" w:rsidTr="002919FB">
        <w:trPr>
          <w:trHeight w:val="160"/>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Other possible data sources</w:t>
            </w:r>
          </w:p>
        </w:tc>
        <w:tc>
          <w:tcPr>
            <w:tcW w:w="7654" w:type="dxa"/>
            <w:shd w:val="clear" w:color="auto" w:fill="auto"/>
          </w:tcPr>
          <w:p w:rsidR="006A719A" w:rsidRPr="005E7236" w:rsidRDefault="006A719A" w:rsidP="002919FB">
            <w:pPr>
              <w:pStyle w:val="IndicatorText"/>
              <w:framePr w:hSpace="0" w:wrap="auto" w:vAnchor="margin" w:hAnchor="text" w:yAlign="inline"/>
            </w:pPr>
          </w:p>
        </w:tc>
      </w:tr>
      <w:tr w:rsidR="006A719A" w:rsidRPr="00DE0966" w:rsidTr="002919FB">
        <w:trPr>
          <w:trHeight w:val="160"/>
        </w:trPr>
        <w:tc>
          <w:tcPr>
            <w:tcW w:w="2042" w:type="dxa"/>
            <w:tcBorders>
              <w:top w:val="nil"/>
              <w:bottom w:val="single" w:sz="4" w:space="0" w:color="A3BBD5"/>
            </w:tcBorders>
            <w:shd w:val="clear" w:color="000000" w:fill="E6F0FA"/>
          </w:tcPr>
          <w:p w:rsidR="006A719A" w:rsidRPr="00F90B32"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6A719A" w:rsidRDefault="007E4492" w:rsidP="002919FB">
            <w:pPr>
              <w:pStyle w:val="IndicatorText"/>
              <w:framePr w:hSpace="0" w:wrap="auto" w:vAnchor="margin" w:hAnchor="text" w:yAlign="inline"/>
            </w:pPr>
            <w:r w:rsidRPr="007E4492">
              <w:t>Monitoring Progress towards Universal Health Coverage at Country and Global Levels: Framework, Measures and Targets</w:t>
            </w:r>
            <w:r>
              <w:t xml:space="preserve">. Geneva:  </w:t>
            </w:r>
            <w:r w:rsidRPr="007E4492">
              <w:t>World Health Organization and International Bank for Reconstruction and Development/The World Bank</w:t>
            </w:r>
            <w:r>
              <w:t>;</w:t>
            </w:r>
            <w:r w:rsidRPr="007E4492">
              <w:t xml:space="preserve"> 2014</w:t>
            </w:r>
            <w:r>
              <w:t xml:space="preserve"> ( </w:t>
            </w:r>
            <w:r w:rsidRPr="007E4492">
              <w:t>http://apps.who.int/iris/bitstream/10665/112824/1/WHO_HIS_HIA_14.1_eng.pdf?ua=1</w:t>
            </w:r>
            <w:r>
              <w:t>, accessed 14 May 2015).</w:t>
            </w:r>
          </w:p>
        </w:tc>
      </w:tr>
    </w:tbl>
    <w:p w:rsidR="002919FB" w:rsidRPr="002919FB" w:rsidRDefault="002919FB" w:rsidP="002919FB"/>
    <w:p w:rsidR="002919FB" w:rsidRDefault="002919FB">
      <w:pPr>
        <w:rPr>
          <w:rFonts w:ascii="Arial Narrow" w:hAnsi="Arial Narrow" w:cs="Calibri"/>
          <w:b/>
          <w:bCs/>
          <w:noProof/>
          <w:color w:val="5480B0"/>
          <w:sz w:val="20"/>
          <w:szCs w:val="20"/>
        </w:rPr>
      </w:pPr>
      <w:r>
        <w:br w:type="page"/>
      </w:r>
    </w:p>
    <w:p w:rsidR="00405F21" w:rsidRPr="00277801" w:rsidRDefault="00405F21" w:rsidP="00405F2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8</w:t>
      </w:r>
      <w:r w:rsidRPr="00277801">
        <w:rPr>
          <w:color w:val="FFFFFF" w:themeColor="background1"/>
        </w:rPr>
        <w:t xml:space="preserve">: </w:t>
      </w:r>
      <w:r>
        <w:rPr>
          <w:color w:val="FFFFFF" w:themeColor="background1"/>
        </w:rPr>
        <w:tab/>
      </w:r>
      <w:r w:rsidRPr="00405F21">
        <w:rPr>
          <w:color w:val="FFFFFF" w:themeColor="background1"/>
        </w:rPr>
        <w:t>Achieve universal health coverage, including financial risk protection, access to quality essential health-care services and access to safe, effective, quality and affordable essential medicines and vaccines for all</w:t>
      </w:r>
    </w:p>
    <w:p w:rsidR="00F35CAF" w:rsidRDefault="00405F21" w:rsidP="006A719A">
      <w:pPr>
        <w:pStyle w:val="Tablesub-heading"/>
      </w:pPr>
      <w:r>
        <w:t>Indicator 3.8.2:</w:t>
      </w:r>
      <w:r>
        <w:tab/>
      </w:r>
      <w:commentRangeStart w:id="20"/>
      <w:r w:rsidR="006A719A" w:rsidRPr="006A719A">
        <w:t>Fraction of households protected from incurring catastrophic out-of-pocket health expenditure</w:t>
      </w:r>
      <w:commentRangeEnd w:id="20"/>
      <w:r>
        <w:rPr>
          <w:rStyle w:val="CommentReference"/>
          <w:rFonts w:ascii="Garamond" w:eastAsia="SimSun" w:hAnsi="Garamond" w:cs="Times New Roman"/>
          <w:b w:val="0"/>
          <w:bCs w:val="0"/>
          <w:noProof w:val="0"/>
          <w:color w:val="auto"/>
          <w:lang w:val="en-US"/>
        </w:rPr>
        <w:commentReference w:id="20"/>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6A719A" w:rsidRPr="00DE0966" w:rsidTr="002919FB">
        <w:trPr>
          <w:trHeight w:val="117"/>
        </w:trPr>
        <w:tc>
          <w:tcPr>
            <w:tcW w:w="2042" w:type="dxa"/>
            <w:tcBorders>
              <w:top w:val="single" w:sz="4" w:space="0" w:color="A3BBD5"/>
              <w:bottom w:val="nil"/>
            </w:tcBorders>
            <w:shd w:val="clear" w:color="000000" w:fill="E6F0FA"/>
            <w:hideMark/>
          </w:tcPr>
          <w:p w:rsidR="006A719A" w:rsidRPr="00F90B32" w:rsidRDefault="006A719A" w:rsidP="00405F21">
            <w:pPr>
              <w:spacing w:after="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6A719A" w:rsidRPr="005E7236" w:rsidRDefault="006A719A" w:rsidP="00405F21">
            <w:pPr>
              <w:pStyle w:val="IndicatorName"/>
              <w:framePr w:hSpace="0" w:wrap="auto" w:vAnchor="margin" w:hAnchor="text" w:yAlign="inline"/>
              <w:spacing w:beforeLines="0" w:before="0" w:after="0"/>
            </w:pPr>
            <w:bookmarkStart w:id="21" w:name="_Toc418774307"/>
            <w:r>
              <w:t>Headcount ratio</w:t>
            </w:r>
            <w:r w:rsidRPr="00813A89">
              <w:t xml:space="preserve"> of </w:t>
            </w:r>
            <w:r w:rsidR="00405F21">
              <w:t>impoverishing/</w:t>
            </w:r>
            <w:r w:rsidRPr="00813A89">
              <w:t>catastrophic health expenditure</w:t>
            </w:r>
            <w:bookmarkEnd w:id="21"/>
          </w:p>
        </w:tc>
      </w:tr>
      <w:tr w:rsidR="006A719A" w:rsidRPr="00DE0966" w:rsidTr="002919FB">
        <w:trPr>
          <w:trHeight w:val="35"/>
        </w:trPr>
        <w:tc>
          <w:tcPr>
            <w:tcW w:w="2042" w:type="dxa"/>
            <w:tcBorders>
              <w:top w:val="nil"/>
              <w:bottom w:val="nil"/>
            </w:tcBorders>
            <w:shd w:val="clear" w:color="000000" w:fill="E6F0FA"/>
            <w:hideMark/>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Indicator name</w:t>
            </w:r>
          </w:p>
        </w:tc>
        <w:tc>
          <w:tcPr>
            <w:tcW w:w="7654" w:type="dxa"/>
            <w:shd w:val="clear" w:color="auto" w:fill="auto"/>
          </w:tcPr>
          <w:p w:rsidR="006A719A" w:rsidRPr="005E7236" w:rsidRDefault="006A719A" w:rsidP="00405F21">
            <w:pPr>
              <w:pStyle w:val="IndicatorText"/>
              <w:framePr w:hSpace="0" w:wrap="auto" w:vAnchor="margin" w:hAnchor="text" w:yAlign="inline"/>
              <w:spacing w:before="0" w:after="0"/>
            </w:pPr>
            <w:r>
              <w:t>Headcount ratio</w:t>
            </w:r>
            <w:r w:rsidRPr="00813A89">
              <w:t xml:space="preserve"> of </w:t>
            </w:r>
            <w:r w:rsidR="00405F21">
              <w:t>impoverishing/</w:t>
            </w:r>
            <w:r w:rsidRPr="00813A89">
              <w:t>catastrophic health expenditure</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Domain</w:t>
            </w:r>
          </w:p>
        </w:tc>
        <w:tc>
          <w:tcPr>
            <w:tcW w:w="7654" w:type="dxa"/>
            <w:shd w:val="clear" w:color="auto" w:fill="auto"/>
          </w:tcPr>
          <w:p w:rsidR="006A719A" w:rsidRDefault="006A719A" w:rsidP="00405F21">
            <w:pPr>
              <w:pStyle w:val="IndicatorText"/>
              <w:framePr w:hSpace="0" w:wrap="auto" w:vAnchor="margin" w:hAnchor="text" w:yAlign="inline"/>
              <w:spacing w:before="0" w:after="0"/>
            </w:pPr>
            <w:r>
              <w:t>Health systems</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6A719A" w:rsidRDefault="006A719A" w:rsidP="00405F21">
            <w:pPr>
              <w:pStyle w:val="IndicatorText"/>
              <w:framePr w:hSpace="0" w:wrap="auto" w:vAnchor="margin" w:hAnchor="text" w:yAlign="inline"/>
              <w:spacing w:before="0" w:after="0"/>
            </w:pPr>
            <w:r>
              <w:t>HSS</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Associated terms</w:t>
            </w:r>
          </w:p>
        </w:tc>
        <w:tc>
          <w:tcPr>
            <w:tcW w:w="7654" w:type="dxa"/>
            <w:shd w:val="clear" w:color="auto" w:fill="auto"/>
          </w:tcPr>
          <w:p w:rsidR="006A719A" w:rsidRDefault="006A719A" w:rsidP="00405F21">
            <w:pPr>
              <w:pStyle w:val="IndicatorText"/>
              <w:framePr w:hSpace="0" w:wrap="auto" w:vAnchor="margin" w:hAnchor="text" w:yAlign="inline"/>
              <w:spacing w:before="0" w:after="0"/>
            </w:pPr>
            <w:r>
              <w:t>Health financing</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Definition</w:t>
            </w:r>
          </w:p>
        </w:tc>
        <w:tc>
          <w:tcPr>
            <w:tcW w:w="7654" w:type="dxa"/>
            <w:shd w:val="clear" w:color="auto" w:fill="auto"/>
          </w:tcPr>
          <w:p w:rsidR="006A719A" w:rsidRDefault="006A719A" w:rsidP="00405F21">
            <w:pPr>
              <w:pStyle w:val="IndicatorText"/>
              <w:framePr w:hSpace="0" w:wrap="auto" w:vAnchor="margin" w:hAnchor="text" w:yAlign="inline"/>
              <w:spacing w:before="0" w:after="0"/>
            </w:pPr>
            <w:r>
              <w:t>P</w:t>
            </w:r>
            <w:r w:rsidRPr="00437DB9">
              <w:t xml:space="preserve">roportion of the population (or sub-population) facing </w:t>
            </w:r>
            <w:r w:rsidR="00405F21">
              <w:t>impoverishing/</w:t>
            </w:r>
            <w:r w:rsidRPr="00437DB9">
              <w:t xml:space="preserve">catastrophic </w:t>
            </w:r>
            <w:r>
              <w:t>health expenditures.</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Numerator</w:t>
            </w:r>
          </w:p>
        </w:tc>
        <w:tc>
          <w:tcPr>
            <w:tcW w:w="7654" w:type="dxa"/>
            <w:shd w:val="clear" w:color="auto" w:fill="auto"/>
          </w:tcPr>
          <w:p w:rsidR="006A719A" w:rsidRDefault="006A719A" w:rsidP="00405F21">
            <w:pPr>
              <w:pStyle w:val="IndicatorText"/>
              <w:framePr w:hSpace="0" w:wrap="auto" w:vAnchor="margin" w:hAnchor="text" w:yAlign="inline"/>
              <w:spacing w:before="0" w:after="0"/>
            </w:pPr>
            <w:r>
              <w:t xml:space="preserve">Total number of households with </w:t>
            </w:r>
            <w:r w:rsidR="00405F21">
              <w:t>impoverishing/</w:t>
            </w:r>
            <w:r>
              <w:t>catastrophic health expenditure.</w:t>
            </w:r>
          </w:p>
        </w:tc>
      </w:tr>
      <w:tr w:rsidR="006A719A" w:rsidRPr="00DE0966" w:rsidTr="002919FB">
        <w:trPr>
          <w:trHeight w:val="62"/>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Denominator</w:t>
            </w:r>
          </w:p>
        </w:tc>
        <w:tc>
          <w:tcPr>
            <w:tcW w:w="7654" w:type="dxa"/>
            <w:shd w:val="clear" w:color="auto" w:fill="auto"/>
          </w:tcPr>
          <w:p w:rsidR="006A719A" w:rsidRDefault="006A719A" w:rsidP="00405F21">
            <w:pPr>
              <w:pStyle w:val="IndicatorText"/>
              <w:framePr w:hSpace="0" w:wrap="auto" w:vAnchor="margin" w:hAnchor="text" w:yAlign="inline"/>
              <w:spacing w:before="0" w:after="0"/>
            </w:pPr>
            <w:r>
              <w:t>Total number of households.</w:t>
            </w:r>
          </w:p>
        </w:tc>
      </w:tr>
      <w:tr w:rsidR="006A719A" w:rsidRPr="00DE0966" w:rsidTr="002919FB">
        <w:trPr>
          <w:trHeight w:val="268"/>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Disaggregation/</w:t>
            </w:r>
            <w:r w:rsidRPr="00F90B32">
              <w:rPr>
                <w:rFonts w:eastAsia="Times New Roman" w:cstheme="minorHAnsi"/>
                <w:color w:val="003366"/>
                <w:sz w:val="16"/>
                <w:szCs w:val="16"/>
              </w:rPr>
              <w:br/>
              <w:t>additional dimension</w:t>
            </w:r>
          </w:p>
        </w:tc>
        <w:tc>
          <w:tcPr>
            <w:tcW w:w="7654" w:type="dxa"/>
            <w:shd w:val="clear" w:color="auto" w:fill="auto"/>
          </w:tcPr>
          <w:p w:rsidR="006A719A" w:rsidRDefault="006A719A" w:rsidP="00405F21">
            <w:pPr>
              <w:pStyle w:val="IndicatorText"/>
              <w:framePr w:hSpace="0" w:wrap="auto" w:vAnchor="margin" w:hAnchor="text" w:yAlign="inline"/>
              <w:spacing w:before="0" w:after="0"/>
            </w:pPr>
            <w:r>
              <w:t>Subnational variables available in survey data</w:t>
            </w:r>
          </w:p>
        </w:tc>
      </w:tr>
      <w:tr w:rsidR="006A719A" w:rsidRPr="00DE0966" w:rsidTr="002919FB">
        <w:trPr>
          <w:trHeight w:val="122"/>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Method of measurement</w:t>
            </w:r>
          </w:p>
        </w:tc>
        <w:tc>
          <w:tcPr>
            <w:tcW w:w="7654" w:type="dxa"/>
            <w:shd w:val="clear" w:color="auto" w:fill="auto"/>
          </w:tcPr>
          <w:p w:rsidR="006A719A" w:rsidRDefault="006A719A" w:rsidP="002919FB">
            <w:pPr>
              <w:pStyle w:val="IndicatorText"/>
              <w:framePr w:hSpace="0" w:wrap="auto" w:vAnchor="margin" w:hAnchor="text" w:yAlign="inline"/>
            </w:pPr>
            <w:r w:rsidRPr="00F60FC5">
              <w:t>F</w:t>
            </w:r>
            <w:r>
              <w:t>inancial protection indicators are based on information collected from population-based household expenditure surveys implemented by or in close collaboration with national statistical bureaus. D</w:t>
            </w:r>
            <w:r w:rsidRPr="00B312CF">
              <w:t>ata</w:t>
            </w:r>
            <w:r>
              <w:t>sets from these surveys</w:t>
            </w:r>
            <w:r w:rsidRPr="00B312CF">
              <w:t xml:space="preserve"> are </w:t>
            </w:r>
            <w:r>
              <w:t xml:space="preserve">typically </w:t>
            </w:r>
            <w:r w:rsidRPr="00B312CF">
              <w:t>obtained through technical contacts in-c</w:t>
            </w:r>
            <w:r>
              <w:t xml:space="preserve">ountry but may also be available publically or for direct purchase. </w:t>
            </w:r>
            <w:r w:rsidRPr="000079E6">
              <w:t>The two most common surveys are</w:t>
            </w:r>
            <w:r>
              <w:t xml:space="preserve"> </w:t>
            </w:r>
            <w:r w:rsidRPr="000079E6">
              <w:t xml:space="preserve">Household Budget Surveys </w:t>
            </w:r>
            <w:r>
              <w:t xml:space="preserve">and </w:t>
            </w:r>
            <w:r w:rsidRPr="000079E6">
              <w:t>Living Standards Measurement S</w:t>
            </w:r>
            <w:r>
              <w:t>urveys</w:t>
            </w:r>
            <w:r w:rsidRPr="000079E6">
              <w:t>.</w:t>
            </w:r>
          </w:p>
          <w:p w:rsidR="006A719A" w:rsidRDefault="006A719A" w:rsidP="002919FB">
            <w:pPr>
              <w:pStyle w:val="IndicatorText"/>
              <w:framePr w:hSpace="0" w:wrap="auto" w:vAnchor="margin" w:hAnchor="text" w:yAlign="inline"/>
            </w:pPr>
            <w:r>
              <w:t>Such surveys</w:t>
            </w:r>
            <w:r w:rsidRPr="00437DB9">
              <w:t xml:space="preserve"> include questions </w:t>
            </w:r>
            <w:r w:rsidRPr="00A96E7F">
              <w:t xml:space="preserve">that elicit information on </w:t>
            </w:r>
            <w:r>
              <w:t xml:space="preserve">a household’s total consumption expenditure (i.e. </w:t>
            </w:r>
            <w:r w:rsidRPr="00DE1D87">
              <w:t>monetary and in-kind payments on all goods and services, plus the monetary value of the consumption of home-made products</w:t>
            </w:r>
            <w:r>
              <w:t xml:space="preserve">). </w:t>
            </w:r>
            <w:r w:rsidRPr="00DE1D87">
              <w:t>The main components of the consumption aggr</w:t>
            </w:r>
            <w:r>
              <w:t>egate include expenses on food</w:t>
            </w:r>
            <w:r w:rsidRPr="00DE1D87">
              <w:t>, non-food (clothing, household articles etc.), utilities (gas, telephone, electricity, etc.), education, health, and housing</w:t>
            </w:r>
            <w:r>
              <w:t>. Survey data allows for construction of t</w:t>
            </w:r>
            <w:r w:rsidRPr="00207A67">
              <w:t xml:space="preserve">he three key </w:t>
            </w:r>
            <w:r>
              <w:t>v</w:t>
            </w:r>
            <w:r w:rsidRPr="00207A67">
              <w:t>ariables (i.e. total</w:t>
            </w:r>
            <w:r>
              <w:t xml:space="preserve"> expenditure</w:t>
            </w:r>
            <w:r w:rsidRPr="00207A67">
              <w:t xml:space="preserve">, food </w:t>
            </w:r>
            <w:r>
              <w:t xml:space="preserve">expenditure </w:t>
            </w:r>
            <w:r w:rsidRPr="00207A67">
              <w:t xml:space="preserve">and </w:t>
            </w:r>
            <w:r>
              <w:t xml:space="preserve">out-of-pocket </w:t>
            </w:r>
            <w:r w:rsidRPr="00207A67">
              <w:t>health</w:t>
            </w:r>
            <w:r>
              <w:t xml:space="preserve"> expenditure</w:t>
            </w:r>
            <w:r w:rsidRPr="00207A67">
              <w:t xml:space="preserve">) </w:t>
            </w:r>
            <w:r>
              <w:t>needed</w:t>
            </w:r>
            <w:r w:rsidRPr="00390368">
              <w:t xml:space="preserve"> for the calculation of </w:t>
            </w:r>
            <w:r>
              <w:t xml:space="preserve">the headcount ratio of </w:t>
            </w:r>
            <w:r w:rsidRPr="00390368">
              <w:t>catastrophic health expenditure</w:t>
            </w:r>
            <w:r>
              <w:t>.</w:t>
            </w:r>
          </w:p>
        </w:tc>
      </w:tr>
      <w:tr w:rsidR="006A719A" w:rsidRPr="00DE0966" w:rsidTr="002919FB">
        <w:trPr>
          <w:trHeight w:val="160"/>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Method of estimation</w:t>
            </w:r>
          </w:p>
        </w:tc>
        <w:tc>
          <w:tcPr>
            <w:tcW w:w="7654" w:type="dxa"/>
            <w:shd w:val="clear" w:color="auto" w:fill="auto"/>
          </w:tcPr>
          <w:p w:rsidR="00405F21" w:rsidRDefault="006A719A" w:rsidP="002919FB">
            <w:pPr>
              <w:pStyle w:val="IndicatorText"/>
              <w:framePr w:hSpace="0" w:wrap="auto" w:vAnchor="margin" w:hAnchor="text" w:yAlign="inline"/>
            </w:pPr>
            <w:r>
              <w:t>Headcount ratios are the estimated total number of households</w:t>
            </w:r>
            <w:r w:rsidRPr="00437DB9">
              <w:t xml:space="preserve"> facing catastrophic </w:t>
            </w:r>
            <w:r>
              <w:t xml:space="preserve">health expenditures over the total number of households. </w:t>
            </w:r>
          </w:p>
          <w:p w:rsidR="006A719A" w:rsidRDefault="006A719A" w:rsidP="002919FB">
            <w:pPr>
              <w:pStyle w:val="IndicatorText"/>
              <w:framePr w:hSpace="0" w:wrap="auto" w:vAnchor="margin" w:hAnchor="text" w:yAlign="inline"/>
            </w:pPr>
            <w:r>
              <w:t xml:space="preserve">A household is identified as facing catastrophic health expenditures when its out-of-pocket </w:t>
            </w:r>
            <w:r w:rsidRPr="00AC4141">
              <w:t>health expenditure</w:t>
            </w:r>
            <w:r>
              <w:t>s</w:t>
            </w:r>
            <w:r w:rsidRPr="00AC4141">
              <w:t xml:space="preserve"> </w:t>
            </w:r>
            <w:r>
              <w:t>represent 40% or more</w:t>
            </w:r>
            <w:r w:rsidRPr="00AC4141">
              <w:t xml:space="preserve"> of </w:t>
            </w:r>
            <w:r>
              <w:t>its capacity-to-pay. Capacity-to-</w:t>
            </w:r>
            <w:r w:rsidRPr="00AC4141">
              <w:t xml:space="preserve">pay is </w:t>
            </w:r>
            <w:r>
              <w:t xml:space="preserve">estimated as total expenditure net of </w:t>
            </w:r>
            <w:r w:rsidRPr="00AC4141">
              <w:t>a subsis</w:t>
            </w:r>
            <w:r>
              <w:t xml:space="preserve">tence level of food expenditure. The latter is calculated as the </w:t>
            </w:r>
            <w:r w:rsidRPr="00AC4141">
              <w:t>average food expenditure per equivalent adults of households in the 45th−55th</w:t>
            </w:r>
            <w:r>
              <w:t xml:space="preserve"> food budget share distribution</w:t>
            </w:r>
            <w:r w:rsidRPr="00AC4141">
              <w:t>.</w:t>
            </w:r>
            <w:r>
              <w:t xml:space="preserve"> </w:t>
            </w:r>
            <w:r w:rsidRPr="00AC4141">
              <w:t>When actual food spendin</w:t>
            </w:r>
            <w:r>
              <w:t xml:space="preserve">g falls below this amount, </w:t>
            </w:r>
            <w:r w:rsidRPr="00AC4141">
              <w:t>cap</w:t>
            </w:r>
            <w:r>
              <w:t>acity-to-</w:t>
            </w:r>
            <w:r w:rsidRPr="00AC4141">
              <w:t>pay is defined as total expenditures net of actual food spending.</w:t>
            </w:r>
          </w:p>
          <w:p w:rsidR="00405F21" w:rsidRDefault="00405F21" w:rsidP="002919FB">
            <w:pPr>
              <w:pStyle w:val="IndicatorText"/>
              <w:framePr w:hSpace="0" w:wrap="auto" w:vAnchor="margin" w:hAnchor="text" w:yAlign="inline"/>
            </w:pPr>
            <w:r>
              <w:t>A household is identified as facing impoverishing health expenditures when its out-of-pocket health expenditures</w:t>
            </w:r>
            <w:r w:rsidRPr="003F0DBD">
              <w:t xml:space="preserve"> </w:t>
            </w:r>
            <w:r>
              <w:t>p</w:t>
            </w:r>
            <w:r w:rsidRPr="007D1349">
              <w:t>ush</w:t>
            </w:r>
            <w:r>
              <w:t xml:space="preserve"> it </w:t>
            </w:r>
            <w:r w:rsidRPr="007D1349">
              <w:t xml:space="preserve">below </w:t>
            </w:r>
            <w:r>
              <w:t>a</w:t>
            </w:r>
            <w:r w:rsidRPr="007D1349">
              <w:t xml:space="preserve"> poverty li</w:t>
            </w:r>
            <w:r>
              <w:t xml:space="preserve">ne (i.e. a household is above the poverty line when taking its total </w:t>
            </w:r>
            <w:r w:rsidRPr="00CE73C7">
              <w:t xml:space="preserve">expenditure </w:t>
            </w:r>
            <w:r>
              <w:t xml:space="preserve">gross of out-of-pocket payments but below the poverty line when taking total expenditure net of out-of-pocket payments). The poverty line is defined as subsistence level food expenditure </w:t>
            </w:r>
            <w:r w:rsidRPr="00AC4141">
              <w:t>estimated as the average food expenditure per equivalent adults of households in the 45th−55th</w:t>
            </w:r>
            <w:r>
              <w:t xml:space="preserve"> food budget share distribution</w:t>
            </w:r>
            <w:r w:rsidRPr="00AC4141">
              <w:t>. When actual food spending falls below this amount, then cap</w:t>
            </w:r>
            <w:r>
              <w:t>acity-to-</w:t>
            </w:r>
            <w:r w:rsidRPr="00AC4141">
              <w:t>pay is defined as total expenditures net of actual food spending.</w:t>
            </w:r>
          </w:p>
        </w:tc>
      </w:tr>
      <w:tr w:rsidR="006A719A" w:rsidRPr="00DE0966" w:rsidTr="002919FB">
        <w:trPr>
          <w:trHeight w:val="224"/>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Measurement frequency</w:t>
            </w:r>
          </w:p>
        </w:tc>
        <w:tc>
          <w:tcPr>
            <w:tcW w:w="7654" w:type="dxa"/>
            <w:shd w:val="clear" w:color="auto" w:fill="auto"/>
          </w:tcPr>
          <w:p w:rsidR="006A719A" w:rsidRPr="005E7236" w:rsidRDefault="006A719A" w:rsidP="00405F21">
            <w:pPr>
              <w:pStyle w:val="IndicatorText"/>
              <w:framePr w:hSpace="0" w:wrap="auto" w:vAnchor="margin" w:hAnchor="text" w:yAlign="inline"/>
              <w:spacing w:before="0" w:after="0"/>
            </w:pPr>
            <w:r>
              <w:t>Every 1–5 years depending on implementation of population-based household expenditure surveys led by national statistics offices</w:t>
            </w:r>
          </w:p>
        </w:tc>
      </w:tr>
      <w:tr w:rsidR="006A719A" w:rsidRPr="00DE0966" w:rsidTr="002919FB">
        <w:trPr>
          <w:trHeight w:val="159"/>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076D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F90B32">
              <w:rPr>
                <w:rFonts w:eastAsia="Times New Roman" w:cstheme="minorHAnsi"/>
                <w:color w:val="003366"/>
                <w:sz w:val="16"/>
                <w:szCs w:val="16"/>
              </w:rPr>
              <w:t>framework</w:t>
            </w:r>
          </w:p>
        </w:tc>
        <w:tc>
          <w:tcPr>
            <w:tcW w:w="7654" w:type="dxa"/>
            <w:shd w:val="clear" w:color="auto" w:fill="auto"/>
          </w:tcPr>
          <w:p w:rsidR="006A719A" w:rsidRPr="005E7236" w:rsidRDefault="006A719A" w:rsidP="00405F21">
            <w:pPr>
              <w:pStyle w:val="IndicatorText"/>
              <w:framePr w:hSpace="0" w:wrap="auto" w:vAnchor="margin" w:hAnchor="text" w:yAlign="inline"/>
              <w:spacing w:before="0" w:after="0"/>
            </w:pPr>
            <w:r>
              <w:t>Impact</w:t>
            </w:r>
          </w:p>
        </w:tc>
      </w:tr>
      <w:tr w:rsidR="006A719A" w:rsidRPr="00DE0966" w:rsidTr="002919FB">
        <w:trPr>
          <w:trHeight w:val="82"/>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Preferred data sources</w:t>
            </w:r>
          </w:p>
        </w:tc>
        <w:tc>
          <w:tcPr>
            <w:tcW w:w="7654" w:type="dxa"/>
            <w:shd w:val="clear" w:color="auto" w:fill="auto"/>
          </w:tcPr>
          <w:p w:rsidR="006A719A" w:rsidRPr="005E7236" w:rsidRDefault="006A719A" w:rsidP="00405F21">
            <w:pPr>
              <w:pStyle w:val="IndicatorText"/>
              <w:framePr w:hSpace="0" w:wrap="auto" w:vAnchor="margin" w:hAnchor="text" w:yAlign="inline"/>
              <w:spacing w:before="0" w:after="0"/>
            </w:pPr>
            <w:r>
              <w:t>Population-based household expenditure surveys</w:t>
            </w:r>
          </w:p>
        </w:tc>
      </w:tr>
      <w:tr w:rsidR="006A719A" w:rsidRPr="00DE0966" w:rsidTr="002919FB">
        <w:trPr>
          <w:trHeight w:val="160"/>
        </w:trPr>
        <w:tc>
          <w:tcPr>
            <w:tcW w:w="2042" w:type="dxa"/>
            <w:tcBorders>
              <w:top w:val="nil"/>
              <w:bottom w:val="nil"/>
            </w:tcBorders>
            <w:shd w:val="clear" w:color="000000" w:fill="E6F0FA"/>
          </w:tcPr>
          <w:p w:rsidR="006A719A" w:rsidRPr="00F90B32" w:rsidRDefault="006A719A" w:rsidP="00405F21">
            <w:pPr>
              <w:spacing w:after="0"/>
              <w:rPr>
                <w:rFonts w:eastAsia="Times New Roman" w:cstheme="minorHAnsi"/>
                <w:color w:val="003366"/>
                <w:sz w:val="16"/>
                <w:szCs w:val="16"/>
              </w:rPr>
            </w:pPr>
            <w:r w:rsidRPr="00F90B32">
              <w:rPr>
                <w:rFonts w:eastAsia="Times New Roman" w:cstheme="minorHAnsi"/>
                <w:color w:val="003366"/>
                <w:sz w:val="16"/>
                <w:szCs w:val="16"/>
              </w:rPr>
              <w:t>Other possible data sources</w:t>
            </w:r>
          </w:p>
        </w:tc>
        <w:tc>
          <w:tcPr>
            <w:tcW w:w="7654" w:type="dxa"/>
            <w:shd w:val="clear" w:color="auto" w:fill="auto"/>
          </w:tcPr>
          <w:p w:rsidR="006A719A" w:rsidRPr="005E7236" w:rsidRDefault="006A719A" w:rsidP="00405F21">
            <w:pPr>
              <w:pStyle w:val="IndicatorText"/>
              <w:framePr w:hSpace="0" w:wrap="auto" w:vAnchor="margin" w:hAnchor="text" w:yAlign="inline"/>
              <w:spacing w:before="0" w:after="0"/>
            </w:pPr>
            <w:r w:rsidRPr="005F3F6C">
              <w:t>Health surveys with a module collecting expenditure data</w:t>
            </w:r>
          </w:p>
        </w:tc>
      </w:tr>
      <w:tr w:rsidR="006A719A" w:rsidRPr="00DE0966" w:rsidTr="002919FB">
        <w:trPr>
          <w:trHeight w:val="160"/>
        </w:trPr>
        <w:tc>
          <w:tcPr>
            <w:tcW w:w="2042" w:type="dxa"/>
            <w:tcBorders>
              <w:top w:val="nil"/>
              <w:bottom w:val="single" w:sz="4" w:space="0" w:color="A3BBD5"/>
            </w:tcBorders>
            <w:shd w:val="clear" w:color="000000" w:fill="E6F0FA"/>
          </w:tcPr>
          <w:p w:rsidR="006A719A" w:rsidRPr="00F90B32"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6A719A" w:rsidRDefault="006A719A" w:rsidP="002919FB">
            <w:pPr>
              <w:pStyle w:val="IndicatorText"/>
              <w:framePr w:hSpace="0" w:wrap="auto" w:vAnchor="margin" w:hAnchor="text" w:yAlign="inline"/>
            </w:pPr>
            <w:proofErr w:type="spellStart"/>
            <w:r w:rsidRPr="002C0B3E">
              <w:t>Analyzing</w:t>
            </w:r>
            <w:proofErr w:type="spellEnd"/>
            <w:r w:rsidRPr="002C0B3E">
              <w:t xml:space="preserve"> health equity using household survey data. Washington, DC: World Bank Group; 2008 (</w:t>
            </w:r>
            <w:hyperlink r:id="rId10" w:history="1">
              <w:r w:rsidRPr="002C0B3E">
                <w:rPr>
                  <w:rStyle w:val="Hyperlink"/>
                  <w:color w:val="000000" w:themeColor="text1"/>
                  <w:u w:val="none"/>
                </w:rPr>
                <w:t>http://www.worldbank.org/en/topic/health/publication/analyzing-health-equity-using-household-survey-data</w:t>
              </w:r>
            </w:hyperlink>
            <w:r w:rsidRPr="002C0B3E">
              <w:t>, accessed 06 May 2015).</w:t>
            </w:r>
          </w:p>
          <w:p w:rsidR="006A719A" w:rsidRDefault="006A719A" w:rsidP="002919FB">
            <w:pPr>
              <w:pStyle w:val="IndicatorText"/>
              <w:framePr w:hSpace="0" w:wrap="auto" w:vAnchor="margin" w:hAnchor="text" w:yAlign="inline"/>
            </w:pPr>
            <w:r w:rsidRPr="002C0B3E">
              <w:t xml:space="preserve">Ke Xu, David B Evans, Kei Kawabata, </w:t>
            </w:r>
            <w:proofErr w:type="spellStart"/>
            <w:r w:rsidRPr="002C0B3E">
              <w:t>Riadh</w:t>
            </w:r>
            <w:proofErr w:type="spellEnd"/>
            <w:r w:rsidRPr="002C0B3E">
              <w:t xml:space="preserve"> </w:t>
            </w:r>
            <w:proofErr w:type="spellStart"/>
            <w:r w:rsidRPr="002C0B3E">
              <w:t>Zeramdini</w:t>
            </w:r>
            <w:proofErr w:type="spellEnd"/>
            <w:r w:rsidRPr="002C0B3E">
              <w:t xml:space="preserve">, Jan </w:t>
            </w:r>
            <w:proofErr w:type="spellStart"/>
            <w:r w:rsidRPr="002C0B3E">
              <w:t>Klavus</w:t>
            </w:r>
            <w:proofErr w:type="spellEnd"/>
            <w:r w:rsidRPr="002C0B3E">
              <w:t>, Christopher J L Murray</w:t>
            </w:r>
            <w:r>
              <w:t xml:space="preserve">. Household catastrophic health expenditure: a </w:t>
            </w:r>
            <w:proofErr w:type="spellStart"/>
            <w:r>
              <w:t>multicountry</w:t>
            </w:r>
            <w:proofErr w:type="spellEnd"/>
            <w:r>
              <w:t xml:space="preserve"> analysis. Lancet. </w:t>
            </w:r>
            <w:r w:rsidRPr="002C0B3E">
              <w:t>2003;362:111</w:t>
            </w:r>
            <w:r w:rsidRPr="002C0B3E">
              <w:sym w:font="Symbol" w:char="F02D"/>
            </w:r>
            <w:r w:rsidRPr="002C0B3E">
              <w:t>7</w:t>
            </w:r>
            <w:r>
              <w:t xml:space="preserve"> (</w:t>
            </w:r>
            <w:r w:rsidRPr="003F3765">
              <w:t>http://www.who.int/entity/health_financing/documents/lancet-catastrophic_expenditure.pdf</w:t>
            </w:r>
            <w:r>
              <w:t>, accessed 06 May 2015)</w:t>
            </w:r>
          </w:p>
          <w:p w:rsidR="006A719A" w:rsidRPr="0048391A" w:rsidRDefault="006A719A" w:rsidP="002919FB">
            <w:pPr>
              <w:pStyle w:val="IndicatorText"/>
              <w:framePr w:hSpace="0" w:wrap="auto" w:vAnchor="margin" w:hAnchor="text" w:yAlign="inline"/>
            </w:pPr>
            <w:r>
              <w:t xml:space="preserve">Ke Xu. Distribution of health payments and catastrophic expenditures: methodology </w:t>
            </w:r>
            <w:r w:rsidRPr="0048391A">
              <w:t>(discussion paper EIP/HSF/DP.05.2)</w:t>
            </w:r>
            <w:r>
              <w:t>. Geneva: World Health Organization; 2005 (</w:t>
            </w:r>
            <w:r w:rsidRPr="003F3765">
              <w:t>http://www.who.int/entity/health_financing/documents/dp_e_05_2-distribution_of_health_payments.pdf</w:t>
            </w:r>
            <w:r>
              <w:t>, accessed 06 May 2015).</w:t>
            </w:r>
          </w:p>
        </w:tc>
      </w:tr>
    </w:tbl>
    <w:p w:rsidR="004C6720" w:rsidRPr="004C6720" w:rsidRDefault="004C6720" w:rsidP="004C6720">
      <w:pPr>
        <w:spacing w:after="0"/>
      </w:pPr>
    </w:p>
    <w:p w:rsidR="00405F21" w:rsidRPr="00277801" w:rsidRDefault="00405F21" w:rsidP="00405F2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9</w:t>
      </w:r>
      <w:r w:rsidRPr="00277801">
        <w:rPr>
          <w:color w:val="FFFFFF" w:themeColor="background1"/>
        </w:rPr>
        <w:t xml:space="preserve">: </w:t>
      </w:r>
      <w:r>
        <w:rPr>
          <w:color w:val="FFFFFF" w:themeColor="background1"/>
        </w:rPr>
        <w:tab/>
      </w:r>
      <w:r w:rsidRPr="00405F21">
        <w:rPr>
          <w:color w:val="FFFFFF" w:themeColor="background1"/>
        </w:rPr>
        <w:t>By 2030, substantially reduce the number of deaths and illnesses from hazardous chemicals and air, water and s</w:t>
      </w:r>
      <w:r>
        <w:rPr>
          <w:color w:val="FFFFFF" w:themeColor="background1"/>
        </w:rPr>
        <w:t>oil pollution and contamination</w:t>
      </w:r>
    </w:p>
    <w:p w:rsidR="006A719A" w:rsidRDefault="00405F21" w:rsidP="006A719A">
      <w:pPr>
        <w:pStyle w:val="Tablesub-heading"/>
      </w:pPr>
      <w:r>
        <w:t>Indicator 3.9.1:</w:t>
      </w:r>
      <w:r>
        <w:tab/>
      </w:r>
      <w:r w:rsidR="006A719A" w:rsidRPr="006A719A">
        <w:t>Population in urban areas exposed to outdoor air pollution levels above WHO guideline values</w:t>
      </w:r>
    </w:p>
    <w:tbl>
      <w:tblPr>
        <w:tblpPr w:leftFromText="180" w:rightFromText="180" w:bottomFromText="200" w:vertAnchor="text" w:horzAnchor="margin" w:tblpY="86"/>
        <w:tblW w:w="9690"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1"/>
        <w:gridCol w:w="7649"/>
      </w:tblGrid>
      <w:tr w:rsidR="006A719A" w:rsidTr="00405F21">
        <w:trPr>
          <w:trHeight w:val="108"/>
        </w:trPr>
        <w:tc>
          <w:tcPr>
            <w:tcW w:w="2041" w:type="dxa"/>
            <w:tcBorders>
              <w:top w:val="single" w:sz="4" w:space="0" w:color="A3BBD5"/>
              <w:left w:val="single" w:sz="4" w:space="0" w:color="A3BBD5"/>
              <w:bottom w:val="nil"/>
              <w:right w:val="nil"/>
            </w:tcBorders>
            <w:shd w:val="clear" w:color="auto" w:fill="E6F0FA"/>
            <w:hideMark/>
          </w:tcPr>
          <w:p w:rsidR="006A719A" w:rsidRDefault="006A719A" w:rsidP="002919FB">
            <w:pPr>
              <w:spacing w:before="80" w:after="80" w:line="240" w:lineRule="auto"/>
              <w:rPr>
                <w:rFonts w:eastAsia="Times New Roman" w:cstheme="minorHAnsi"/>
                <w:color w:val="003366"/>
                <w:sz w:val="16"/>
                <w:szCs w:val="16"/>
              </w:rPr>
            </w:pPr>
            <w:r>
              <w:rPr>
                <w:rFonts w:eastAsia="Times New Roman" w:cstheme="minorHAnsi"/>
                <w:color w:val="003366"/>
                <w:sz w:val="16"/>
                <w:szCs w:val="16"/>
              </w:rPr>
              <w:t>Abbreviated name</w:t>
            </w:r>
          </w:p>
        </w:tc>
        <w:tc>
          <w:tcPr>
            <w:tcW w:w="7649" w:type="dxa"/>
            <w:tcBorders>
              <w:top w:val="single" w:sz="4" w:space="0" w:color="A3BBD5"/>
              <w:left w:val="nil"/>
              <w:bottom w:val="nil"/>
              <w:right w:val="single" w:sz="4" w:space="0" w:color="A3BBD5"/>
            </w:tcBorders>
            <w:hideMark/>
          </w:tcPr>
          <w:p w:rsidR="006A719A" w:rsidRDefault="006A719A" w:rsidP="002919FB">
            <w:pPr>
              <w:pStyle w:val="IndicatorName"/>
              <w:framePr w:hSpace="0" w:wrap="auto" w:vAnchor="margin" w:hAnchor="text" w:yAlign="inline"/>
            </w:pPr>
            <w:bookmarkStart w:id="22" w:name="_Toc418774249"/>
            <w:r>
              <w:t>Air pollution level in cities</w:t>
            </w:r>
            <w:bookmarkEnd w:id="22"/>
          </w:p>
        </w:tc>
      </w:tr>
      <w:tr w:rsidR="006A719A" w:rsidTr="00405F21">
        <w:trPr>
          <w:trHeight w:val="40"/>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Name</w:t>
            </w:r>
          </w:p>
        </w:tc>
        <w:tc>
          <w:tcPr>
            <w:tcW w:w="7649" w:type="dxa"/>
            <w:tcBorders>
              <w:top w:val="nil"/>
              <w:left w:val="nil"/>
              <w:bottom w:val="nil"/>
              <w:right w:val="single" w:sz="4" w:space="0" w:color="A3BBD5"/>
            </w:tcBorders>
            <w:hideMark/>
          </w:tcPr>
          <w:p w:rsidR="006A719A" w:rsidRDefault="006A719A" w:rsidP="002919FB">
            <w:pPr>
              <w:pStyle w:val="IndicatorText"/>
              <w:framePr w:hSpace="0" w:wrap="auto" w:vAnchor="margin" w:hAnchor="text" w:yAlign="inline"/>
              <w:spacing w:before="0" w:after="0"/>
            </w:pPr>
            <w:r>
              <w:t>Air pollution level in cities (particulate matter [PM])</w:t>
            </w:r>
          </w:p>
        </w:tc>
      </w:tr>
      <w:tr w:rsidR="006A719A" w:rsidTr="00405F21">
        <w:trPr>
          <w:trHeight w:val="23"/>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Domain</w:t>
            </w:r>
          </w:p>
        </w:tc>
        <w:tc>
          <w:tcPr>
            <w:tcW w:w="7649" w:type="dxa"/>
            <w:tcBorders>
              <w:top w:val="nil"/>
              <w:left w:val="nil"/>
              <w:bottom w:val="nil"/>
              <w:right w:val="single" w:sz="4" w:space="0" w:color="A3BBD5"/>
            </w:tcBorders>
            <w:hideMark/>
          </w:tcPr>
          <w:p w:rsidR="006A719A" w:rsidRDefault="006A719A" w:rsidP="002919FB">
            <w:pPr>
              <w:pStyle w:val="IndicatorText"/>
              <w:framePr w:hSpace="0" w:wrap="auto" w:vAnchor="margin" w:hAnchor="text" w:yAlign="inline"/>
              <w:spacing w:before="0" w:after="0"/>
            </w:pPr>
            <w:r>
              <w:rPr>
                <w:color w:val="auto"/>
              </w:rPr>
              <w:t>Risk factors</w:t>
            </w:r>
          </w:p>
        </w:tc>
      </w:tr>
      <w:tr w:rsidR="006A719A" w:rsidTr="00405F21">
        <w:trPr>
          <w:trHeight w:val="23"/>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Subdomain</w:t>
            </w:r>
          </w:p>
        </w:tc>
        <w:tc>
          <w:tcPr>
            <w:tcW w:w="7649" w:type="dxa"/>
            <w:tcBorders>
              <w:top w:val="nil"/>
              <w:left w:val="nil"/>
              <w:bottom w:val="nil"/>
              <w:right w:val="single" w:sz="4" w:space="0" w:color="A3BBD5"/>
            </w:tcBorders>
            <w:hideMark/>
          </w:tcPr>
          <w:p w:rsidR="006A719A" w:rsidRDefault="006A719A" w:rsidP="002919FB">
            <w:pPr>
              <w:pStyle w:val="IndicatorText"/>
              <w:framePr w:hSpace="0" w:wrap="auto" w:vAnchor="margin" w:hAnchor="text" w:yAlign="inline"/>
              <w:spacing w:before="0" w:after="0"/>
            </w:pPr>
            <w:r>
              <w:rPr>
                <w:color w:val="auto"/>
              </w:rPr>
              <w:t>Environment</w:t>
            </w:r>
          </w:p>
        </w:tc>
      </w:tr>
      <w:tr w:rsidR="006A719A" w:rsidTr="00405F21">
        <w:trPr>
          <w:trHeight w:val="23"/>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Associated terms</w:t>
            </w:r>
          </w:p>
        </w:tc>
        <w:tc>
          <w:tcPr>
            <w:tcW w:w="7649" w:type="dxa"/>
            <w:tcBorders>
              <w:top w:val="nil"/>
              <w:left w:val="nil"/>
              <w:bottom w:val="nil"/>
              <w:right w:val="single" w:sz="4" w:space="0" w:color="A3BBD5"/>
            </w:tcBorders>
            <w:hideMark/>
          </w:tcPr>
          <w:p w:rsidR="006A719A" w:rsidRDefault="006A719A" w:rsidP="002919FB">
            <w:pPr>
              <w:pStyle w:val="IndicatorText"/>
              <w:framePr w:hSpace="0" w:wrap="auto" w:vAnchor="margin" w:hAnchor="text" w:yAlign="inline"/>
              <w:spacing w:before="0" w:after="0"/>
            </w:pPr>
            <w:r>
              <w:rPr>
                <w:color w:val="auto"/>
              </w:rPr>
              <w:t>Environmental risk factors</w:t>
            </w:r>
          </w:p>
        </w:tc>
      </w:tr>
      <w:tr w:rsidR="006A719A" w:rsidTr="00405F21">
        <w:trPr>
          <w:trHeight w:val="124"/>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Definition</w:t>
            </w:r>
          </w:p>
        </w:tc>
        <w:tc>
          <w:tcPr>
            <w:tcW w:w="7649" w:type="dxa"/>
            <w:tcBorders>
              <w:top w:val="nil"/>
              <w:left w:val="nil"/>
              <w:bottom w:val="nil"/>
              <w:right w:val="single" w:sz="4" w:space="0" w:color="A3BBD5"/>
            </w:tcBorders>
            <w:hideMark/>
          </w:tcPr>
          <w:p w:rsidR="006A719A" w:rsidRDefault="006A719A" w:rsidP="002919FB">
            <w:pPr>
              <w:pStyle w:val="IndicatorText"/>
              <w:framePr w:hSpace="0" w:wrap="auto" w:vAnchor="margin" w:hAnchor="text" w:yAlign="inline"/>
              <w:spacing w:before="0" w:after="0"/>
            </w:pPr>
            <w:r w:rsidRPr="00B33B8A">
              <w:rPr>
                <w:color w:val="auto"/>
              </w:rPr>
              <w:t>Annual mean concentration of particulate matter of less than 2.5 microns of diameter (PM2.5) [</w:t>
            </w:r>
            <w:proofErr w:type="spellStart"/>
            <w:r w:rsidRPr="00B33B8A">
              <w:rPr>
                <w:color w:val="auto"/>
              </w:rPr>
              <w:t>ug</w:t>
            </w:r>
            <w:proofErr w:type="spellEnd"/>
            <w:r w:rsidRPr="00B33B8A">
              <w:rPr>
                <w:color w:val="auto"/>
              </w:rPr>
              <w:t>/m3] (or of less than 10 microns [PM10] if PM2.5 is not available) in cities</w:t>
            </w:r>
          </w:p>
        </w:tc>
      </w:tr>
      <w:tr w:rsidR="006A719A" w:rsidTr="00405F21">
        <w:trPr>
          <w:trHeight w:val="106"/>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Numerator</w:t>
            </w:r>
          </w:p>
        </w:tc>
        <w:tc>
          <w:tcPr>
            <w:tcW w:w="7649" w:type="dxa"/>
            <w:tcBorders>
              <w:top w:val="nil"/>
              <w:left w:val="nil"/>
              <w:bottom w:val="nil"/>
              <w:right w:val="single" w:sz="4" w:space="0" w:color="A3BBD5"/>
            </w:tcBorders>
          </w:tcPr>
          <w:p w:rsidR="006A719A" w:rsidRDefault="006A719A" w:rsidP="002919FB">
            <w:pPr>
              <w:pStyle w:val="IndicatorText"/>
              <w:framePr w:hSpace="0" w:wrap="auto" w:vAnchor="margin" w:hAnchor="text" w:yAlign="inline"/>
              <w:spacing w:before="0" w:after="0"/>
            </w:pPr>
          </w:p>
        </w:tc>
      </w:tr>
      <w:tr w:rsidR="006A719A" w:rsidTr="00405F21">
        <w:trPr>
          <w:trHeight w:val="42"/>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Denominator</w:t>
            </w:r>
          </w:p>
        </w:tc>
        <w:tc>
          <w:tcPr>
            <w:tcW w:w="7649" w:type="dxa"/>
            <w:tcBorders>
              <w:top w:val="nil"/>
              <w:left w:val="nil"/>
              <w:bottom w:val="nil"/>
              <w:right w:val="single" w:sz="4" w:space="0" w:color="A3BBD5"/>
            </w:tcBorders>
          </w:tcPr>
          <w:p w:rsidR="006A719A" w:rsidRDefault="006A719A" w:rsidP="002919FB">
            <w:pPr>
              <w:pStyle w:val="IndicatorText"/>
              <w:framePr w:hSpace="0" w:wrap="auto" w:vAnchor="margin" w:hAnchor="text" w:yAlign="inline"/>
              <w:spacing w:before="0" w:after="0"/>
            </w:pPr>
          </w:p>
        </w:tc>
      </w:tr>
      <w:tr w:rsidR="006A719A" w:rsidTr="00405F21">
        <w:trPr>
          <w:trHeight w:val="120"/>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Disaggregation/</w:t>
            </w:r>
            <w:r>
              <w:rPr>
                <w:rFonts w:eastAsia="Times New Roman" w:cstheme="minorHAnsi"/>
                <w:color w:val="003366"/>
                <w:sz w:val="16"/>
                <w:szCs w:val="16"/>
              </w:rPr>
              <w:br/>
              <w:t>additional dimension</w:t>
            </w:r>
          </w:p>
        </w:tc>
        <w:tc>
          <w:tcPr>
            <w:tcW w:w="7649" w:type="dxa"/>
            <w:tcBorders>
              <w:top w:val="nil"/>
              <w:left w:val="nil"/>
              <w:bottom w:val="nil"/>
              <w:right w:val="single" w:sz="4" w:space="0" w:color="A3BBD5"/>
            </w:tcBorders>
          </w:tcPr>
          <w:p w:rsidR="006A719A" w:rsidRDefault="006A719A" w:rsidP="002919FB">
            <w:pPr>
              <w:pStyle w:val="IndicatorText"/>
              <w:framePr w:hSpace="0" w:wrap="auto" w:vAnchor="margin" w:hAnchor="text" w:yAlign="inline"/>
              <w:spacing w:before="0" w:after="0"/>
            </w:pPr>
          </w:p>
        </w:tc>
      </w:tr>
      <w:tr w:rsidR="006A719A" w:rsidTr="00405F21">
        <w:trPr>
          <w:trHeight w:val="258"/>
        </w:trPr>
        <w:tc>
          <w:tcPr>
            <w:tcW w:w="2041" w:type="dxa"/>
            <w:tcBorders>
              <w:top w:val="nil"/>
              <w:left w:val="single" w:sz="4" w:space="0" w:color="A3BBD5"/>
              <w:bottom w:val="nil"/>
              <w:right w:val="nil"/>
            </w:tcBorders>
            <w:shd w:val="clear" w:color="auto" w:fill="E6F0FA"/>
            <w:hideMark/>
          </w:tcPr>
          <w:p w:rsidR="006A719A" w:rsidRDefault="006A719A" w:rsidP="002919FB">
            <w:pPr>
              <w:spacing w:before="80" w:after="80" w:line="240" w:lineRule="auto"/>
              <w:rPr>
                <w:rFonts w:eastAsia="Times New Roman" w:cstheme="minorHAnsi"/>
                <w:color w:val="003366"/>
                <w:sz w:val="16"/>
                <w:szCs w:val="16"/>
              </w:rPr>
            </w:pPr>
            <w:r>
              <w:rPr>
                <w:rFonts w:eastAsia="Times New Roman" w:cstheme="minorHAnsi"/>
                <w:color w:val="003366"/>
                <w:sz w:val="16"/>
                <w:szCs w:val="16"/>
              </w:rPr>
              <w:t>Method of measurement</w:t>
            </w:r>
          </w:p>
        </w:tc>
        <w:tc>
          <w:tcPr>
            <w:tcW w:w="7649" w:type="dxa"/>
            <w:tcBorders>
              <w:top w:val="nil"/>
              <w:left w:val="nil"/>
              <w:bottom w:val="nil"/>
              <w:right w:val="single" w:sz="4" w:space="0" w:color="A3BBD5"/>
            </w:tcBorders>
            <w:hideMark/>
          </w:tcPr>
          <w:p w:rsidR="006A719A" w:rsidRDefault="006A719A" w:rsidP="002919FB">
            <w:pPr>
              <w:pStyle w:val="IndicatorText"/>
              <w:framePr w:hSpace="0" w:wrap="auto" w:vAnchor="margin" w:hAnchor="text" w:yAlign="inline"/>
            </w:pPr>
            <w:r>
              <w:t>The mean annual concentration of fine suspended particles of less than 10 or 2.5 microns in diameters is a common measure of air pollution. The mean city concentration is based on daily measurements, or data which could be aggregated into annual means. In th</w:t>
            </w:r>
            <w:r w:rsidRPr="00B33B8A">
              <w:rPr>
                <w:color w:val="auto"/>
              </w:rPr>
              <w:t xml:space="preserve">e absence of annual means, measurements covering a more limited period of the year can exceptionally be used (provided that data are largely representative for the annual mean exposure). </w:t>
            </w:r>
          </w:p>
        </w:tc>
      </w:tr>
      <w:tr w:rsidR="006A719A" w:rsidTr="00405F21">
        <w:trPr>
          <w:trHeight w:val="23"/>
        </w:trPr>
        <w:tc>
          <w:tcPr>
            <w:tcW w:w="2041" w:type="dxa"/>
            <w:tcBorders>
              <w:top w:val="nil"/>
              <w:left w:val="single" w:sz="4" w:space="0" w:color="A3BBD5"/>
              <w:bottom w:val="nil"/>
              <w:right w:val="nil"/>
            </w:tcBorders>
            <w:shd w:val="clear" w:color="auto" w:fill="E6F0FA"/>
            <w:hideMark/>
          </w:tcPr>
          <w:p w:rsidR="006A719A" w:rsidRDefault="006A719A" w:rsidP="002919FB">
            <w:pPr>
              <w:spacing w:before="80" w:after="80" w:line="240" w:lineRule="auto"/>
              <w:rPr>
                <w:rFonts w:eastAsia="Times New Roman" w:cstheme="minorHAnsi"/>
                <w:color w:val="003366"/>
                <w:sz w:val="16"/>
                <w:szCs w:val="16"/>
              </w:rPr>
            </w:pPr>
            <w:r>
              <w:rPr>
                <w:rFonts w:eastAsia="Times New Roman" w:cstheme="minorHAnsi"/>
                <w:color w:val="003366"/>
                <w:sz w:val="16"/>
                <w:szCs w:val="16"/>
              </w:rPr>
              <w:t>Method of estimation</w:t>
            </w:r>
          </w:p>
        </w:tc>
        <w:tc>
          <w:tcPr>
            <w:tcW w:w="7649" w:type="dxa"/>
            <w:tcBorders>
              <w:top w:val="nil"/>
              <w:left w:val="nil"/>
              <w:bottom w:val="nil"/>
              <w:right w:val="single" w:sz="4" w:space="0" w:color="A3BBD5"/>
            </w:tcBorders>
            <w:hideMark/>
          </w:tcPr>
          <w:p w:rsidR="006A719A" w:rsidRPr="00B33B8A" w:rsidRDefault="006A719A" w:rsidP="002919FB">
            <w:pPr>
              <w:pStyle w:val="IndicatorText"/>
              <w:framePr w:hSpace="0" w:wrap="auto" w:vAnchor="margin" w:hAnchor="text" w:yAlign="inline"/>
              <w:spacing w:line="276" w:lineRule="auto"/>
              <w:rPr>
                <w:color w:val="auto"/>
              </w:rPr>
            </w:pPr>
            <w:r w:rsidRPr="00B33B8A">
              <w:rPr>
                <w:color w:val="auto"/>
              </w:rPr>
              <w:t>Annual means represent an average of the cities' monitoring stations. The average can be population-weighted if stations are representative for certain parts of the city. In order to present air quality that is largely representative for human exposure, urban measurement characterized as urban background, residential areas, commercial and mixed areas should be used. Stations characterized as particular "hot spots" or exclusively industrial areas are generally not included, unless their levels are representative for people’s exposures</w:t>
            </w:r>
            <w:r>
              <w:rPr>
                <w:color w:val="auto"/>
              </w:rPr>
              <w:t>.</w:t>
            </w:r>
            <w:r w:rsidRPr="00B33B8A">
              <w:rPr>
                <w:color w:val="auto"/>
              </w:rPr>
              <w:t xml:space="preserve"> This selection should be in line with the aim of capturing representative values for human exposure. The location of hot spots, often measured for the purpose of capturing the cities' maximum values and industrial areas, are often deemed less likely to be representative for the mean exposure of a significant part of a city's population. "Hot spots" are either designated as such by the original reports, or are qualified as such due to their exceptional nature (e.g. exceptionally busy roads etc.). Omitting them may also lead to an underestimation of the mean air pollution levels of a city.</w:t>
            </w:r>
          </w:p>
          <w:p w:rsidR="006A719A" w:rsidRPr="00B33B8A" w:rsidRDefault="006A719A" w:rsidP="002919FB">
            <w:pPr>
              <w:pStyle w:val="IndicatorText"/>
              <w:framePr w:hSpace="0" w:wrap="auto" w:vAnchor="margin" w:hAnchor="text" w:yAlign="inline"/>
              <w:spacing w:line="276" w:lineRule="auto"/>
              <w:rPr>
                <w:color w:val="1F497D"/>
              </w:rPr>
            </w:pPr>
            <w:r w:rsidRPr="00B33B8A">
              <w:rPr>
                <w:color w:val="auto"/>
              </w:rPr>
              <w:t xml:space="preserve">Annual mean PM2.5 data be estimated, when not available, on the basis of PM10. Conversion factors PM2.5/PM10 may vary according to location, and should, if possible, be taken from other stations which measure both PM2.5 and PM10 in the city or country, or by default from the region. </w:t>
            </w:r>
            <w:r>
              <w:rPr>
                <w:color w:val="auto"/>
              </w:rPr>
              <w:t xml:space="preserve">They </w:t>
            </w:r>
            <w:r w:rsidRPr="00B33B8A">
              <w:rPr>
                <w:color w:val="auto"/>
              </w:rPr>
              <w:t>should be considered as approximate only. The converted value for individual cities may deviate from the actual value (generally between 0.3 and 0.8).</w:t>
            </w:r>
          </w:p>
        </w:tc>
      </w:tr>
      <w:tr w:rsidR="006A719A" w:rsidTr="00405F21">
        <w:trPr>
          <w:trHeight w:val="23"/>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Measurement frequency</w:t>
            </w:r>
          </w:p>
        </w:tc>
        <w:tc>
          <w:tcPr>
            <w:tcW w:w="7649" w:type="dxa"/>
            <w:tcBorders>
              <w:top w:val="nil"/>
              <w:left w:val="nil"/>
              <w:bottom w:val="nil"/>
              <w:right w:val="single" w:sz="4" w:space="0" w:color="A3BBD5"/>
            </w:tcBorders>
          </w:tcPr>
          <w:p w:rsidR="006A719A" w:rsidRDefault="006A719A" w:rsidP="002919FB">
            <w:pPr>
              <w:pStyle w:val="IndicatorText"/>
              <w:framePr w:hSpace="0" w:wrap="auto" w:vAnchor="margin" w:hAnchor="text" w:yAlign="inline"/>
              <w:spacing w:before="0" w:after="0"/>
            </w:pPr>
          </w:p>
        </w:tc>
      </w:tr>
      <w:tr w:rsidR="006A719A" w:rsidTr="00405F21">
        <w:trPr>
          <w:trHeight w:val="53"/>
        </w:trPr>
        <w:tc>
          <w:tcPr>
            <w:tcW w:w="2041" w:type="dxa"/>
            <w:tcBorders>
              <w:top w:val="nil"/>
              <w:left w:val="single" w:sz="4" w:space="0" w:color="A3BBD5"/>
              <w:bottom w:val="nil"/>
              <w:right w:val="nil"/>
            </w:tcBorders>
            <w:shd w:val="clear" w:color="auto" w:fill="E6F0FA"/>
            <w:hideMark/>
          </w:tcPr>
          <w:p w:rsidR="006A719A" w:rsidRDefault="006A719A" w:rsidP="002919FB">
            <w:pPr>
              <w:spacing w:line="240" w:lineRule="auto"/>
              <w:rPr>
                <w:rFonts w:eastAsia="Times New Roman" w:cstheme="minorHAnsi"/>
                <w:color w:val="003366"/>
                <w:sz w:val="16"/>
                <w:szCs w:val="16"/>
              </w:rPr>
            </w:pPr>
            <w:r>
              <w:rPr>
                <w:rFonts w:eastAsia="Times New Roman" w:cstheme="minorHAnsi"/>
                <w:color w:val="003366"/>
                <w:sz w:val="16"/>
                <w:szCs w:val="16"/>
              </w:rPr>
              <w:t>Monitoring and evaluation framework</w:t>
            </w:r>
          </w:p>
        </w:tc>
        <w:tc>
          <w:tcPr>
            <w:tcW w:w="7649" w:type="dxa"/>
            <w:tcBorders>
              <w:top w:val="nil"/>
              <w:left w:val="nil"/>
              <w:bottom w:val="nil"/>
              <w:right w:val="single" w:sz="4" w:space="0" w:color="A3BBD5"/>
            </w:tcBorders>
            <w:hideMark/>
          </w:tcPr>
          <w:p w:rsidR="006A719A" w:rsidRDefault="006A719A" w:rsidP="002919FB">
            <w:pPr>
              <w:pStyle w:val="IndicatorText"/>
              <w:framePr w:hSpace="0" w:wrap="auto" w:vAnchor="margin" w:hAnchor="text" w:yAlign="inline"/>
              <w:spacing w:before="0" w:after="0"/>
            </w:pPr>
            <w:r>
              <w:rPr>
                <w:color w:val="auto"/>
              </w:rPr>
              <w:t>Outcome</w:t>
            </w:r>
          </w:p>
        </w:tc>
      </w:tr>
      <w:tr w:rsidR="006A719A" w:rsidTr="00405F21">
        <w:trPr>
          <w:trHeight w:val="23"/>
        </w:trPr>
        <w:tc>
          <w:tcPr>
            <w:tcW w:w="2041" w:type="dxa"/>
            <w:tcBorders>
              <w:top w:val="nil"/>
              <w:left w:val="single" w:sz="4" w:space="0" w:color="A3BBD5"/>
              <w:bottom w:val="nil"/>
              <w:right w:val="nil"/>
            </w:tcBorders>
            <w:shd w:val="clear" w:color="auto" w:fill="E6F0FA"/>
            <w:hideMark/>
          </w:tcPr>
          <w:p w:rsidR="006A719A" w:rsidRDefault="006A719A" w:rsidP="002919FB">
            <w:pPr>
              <w:spacing w:before="80" w:after="80" w:line="240" w:lineRule="auto"/>
              <w:rPr>
                <w:rFonts w:eastAsia="Times New Roman" w:cstheme="minorHAnsi"/>
                <w:color w:val="003366"/>
                <w:sz w:val="16"/>
                <w:szCs w:val="16"/>
              </w:rPr>
            </w:pPr>
            <w:r>
              <w:rPr>
                <w:rFonts w:eastAsia="Times New Roman" w:cstheme="minorHAnsi"/>
                <w:color w:val="003366"/>
                <w:sz w:val="16"/>
                <w:szCs w:val="16"/>
              </w:rPr>
              <w:t>Preferred data sources</w:t>
            </w:r>
          </w:p>
        </w:tc>
        <w:tc>
          <w:tcPr>
            <w:tcW w:w="7649" w:type="dxa"/>
            <w:tcBorders>
              <w:top w:val="nil"/>
              <w:left w:val="nil"/>
              <w:bottom w:val="nil"/>
              <w:right w:val="single" w:sz="4" w:space="0" w:color="A3BBD5"/>
            </w:tcBorders>
            <w:hideMark/>
          </w:tcPr>
          <w:p w:rsidR="006A719A" w:rsidRDefault="006A719A" w:rsidP="002919FB">
            <w:pPr>
              <w:pStyle w:val="IndicatorText"/>
              <w:framePr w:hSpace="0" w:wrap="auto" w:vAnchor="margin" w:hAnchor="text" w:yAlign="inline"/>
            </w:pPr>
            <w:r>
              <w:t>National/subnational/monitoring reports and web sites containing measurements of PM10 or PM2.5 and relevant national agencies</w:t>
            </w:r>
          </w:p>
        </w:tc>
      </w:tr>
      <w:tr w:rsidR="006A719A" w:rsidTr="00405F21">
        <w:trPr>
          <w:trHeight w:val="557"/>
        </w:trPr>
        <w:tc>
          <w:tcPr>
            <w:tcW w:w="2041" w:type="dxa"/>
            <w:tcBorders>
              <w:top w:val="nil"/>
              <w:left w:val="single" w:sz="4" w:space="0" w:color="A3BBD5"/>
              <w:bottom w:val="nil"/>
              <w:right w:val="nil"/>
            </w:tcBorders>
            <w:shd w:val="clear" w:color="auto" w:fill="E6F0FA"/>
            <w:hideMark/>
          </w:tcPr>
          <w:p w:rsidR="006A719A" w:rsidRDefault="006A719A" w:rsidP="002919FB">
            <w:pPr>
              <w:spacing w:before="80" w:after="80" w:line="240" w:lineRule="auto"/>
              <w:rPr>
                <w:rFonts w:eastAsia="Times New Roman" w:cstheme="minorHAnsi"/>
                <w:color w:val="003366"/>
                <w:sz w:val="16"/>
                <w:szCs w:val="16"/>
              </w:rPr>
            </w:pPr>
            <w:r>
              <w:rPr>
                <w:rFonts w:eastAsia="Times New Roman" w:cstheme="minorHAnsi"/>
                <w:color w:val="003366"/>
                <w:sz w:val="16"/>
                <w:szCs w:val="16"/>
              </w:rPr>
              <w:t>Other possible data sources</w:t>
            </w:r>
          </w:p>
        </w:tc>
        <w:tc>
          <w:tcPr>
            <w:tcW w:w="7649" w:type="dxa"/>
            <w:tcBorders>
              <w:top w:val="nil"/>
              <w:left w:val="nil"/>
              <w:bottom w:val="nil"/>
              <w:right w:val="single" w:sz="4" w:space="0" w:color="A3BBD5"/>
            </w:tcBorders>
            <w:hideMark/>
          </w:tcPr>
          <w:p w:rsidR="006A719A" w:rsidRDefault="006A719A" w:rsidP="002919FB">
            <w:pPr>
              <w:pStyle w:val="IndicatorText"/>
              <w:framePr w:hSpace="0" w:wrap="auto" w:vAnchor="margin" w:hAnchor="text" w:yAlign="inline"/>
            </w:pPr>
            <w:r w:rsidRPr="00B33B8A">
              <w:rPr>
                <w:color w:val="auto"/>
              </w:rPr>
              <w:t>Data from research projects/articles from peer reviewed journals, Development agencies, UN Agencies</w:t>
            </w:r>
          </w:p>
        </w:tc>
      </w:tr>
      <w:tr w:rsidR="006A719A" w:rsidTr="00405F21">
        <w:trPr>
          <w:trHeight w:val="53"/>
        </w:trPr>
        <w:tc>
          <w:tcPr>
            <w:tcW w:w="2041" w:type="dxa"/>
            <w:tcBorders>
              <w:top w:val="nil"/>
              <w:left w:val="single" w:sz="4" w:space="0" w:color="A3BBD5"/>
              <w:bottom w:val="single" w:sz="4" w:space="0" w:color="A3BBD5"/>
              <w:right w:val="nil"/>
            </w:tcBorders>
            <w:shd w:val="clear" w:color="auto" w:fill="E6F0FA"/>
            <w:hideMark/>
          </w:tcPr>
          <w:p w:rsidR="006A719A" w:rsidRDefault="006A719A" w:rsidP="002919FB">
            <w:pPr>
              <w:spacing w:before="80" w:after="80" w:line="240" w:lineRule="auto"/>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49" w:type="dxa"/>
            <w:tcBorders>
              <w:top w:val="nil"/>
              <w:left w:val="nil"/>
              <w:bottom w:val="single" w:sz="4" w:space="0" w:color="A3BBD5"/>
              <w:right w:val="single" w:sz="4" w:space="0" w:color="A3BBD5"/>
            </w:tcBorders>
            <w:hideMark/>
          </w:tcPr>
          <w:p w:rsidR="006A719A" w:rsidRDefault="006A719A" w:rsidP="002919FB">
            <w:pPr>
              <w:pStyle w:val="IndicatorText"/>
              <w:framePr w:hSpace="0" w:wrap="auto" w:vAnchor="margin" w:hAnchor="text" w:yAlign="inline"/>
              <w:rPr>
                <w:lang w:val="en-US"/>
              </w:rPr>
            </w:pPr>
            <w:r>
              <w:rPr>
                <w:lang w:val="en-US"/>
              </w:rPr>
              <w:t>WHO Air quality guidelines for particulate matter, ozone, nitrogen dioxide and sulfur dioxide: Global update 2005. Geneva: World Health Organization; 2014 ( http://www.who.int/phe/health_topics/outdoorair/outdoorair_aqg/en/, accessed 06 May 2015).</w:t>
            </w:r>
          </w:p>
        </w:tc>
      </w:tr>
    </w:tbl>
    <w:p w:rsidR="00405F21" w:rsidRPr="00277801" w:rsidRDefault="00405F21" w:rsidP="00405F2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a</w:t>
      </w:r>
      <w:r w:rsidRPr="00277801">
        <w:rPr>
          <w:color w:val="FFFFFF" w:themeColor="background1"/>
        </w:rPr>
        <w:t xml:space="preserve">: </w:t>
      </w:r>
      <w:r>
        <w:rPr>
          <w:color w:val="FFFFFF" w:themeColor="background1"/>
        </w:rPr>
        <w:tab/>
      </w:r>
      <w:r w:rsidRPr="00405F21">
        <w:rPr>
          <w:color w:val="FFFFFF" w:themeColor="background1"/>
        </w:rPr>
        <w:t>Strengthen the implementation of the World Health Organization Framework Convention on Tobacco Control in all countries, as appropriate</w:t>
      </w:r>
    </w:p>
    <w:p w:rsidR="006A719A" w:rsidRDefault="00405F21" w:rsidP="006A719A">
      <w:pPr>
        <w:pStyle w:val="Tablesub-heading"/>
      </w:pPr>
      <w:r>
        <w:t>Indicator 3.a.1:</w:t>
      </w:r>
      <w:r>
        <w:tab/>
      </w:r>
      <w:r w:rsidR="006A719A" w:rsidRPr="006A719A">
        <w:t>Tobacco use among persons 18 years and older</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6A719A" w:rsidRPr="00DE0966" w:rsidTr="002919FB">
        <w:trPr>
          <w:trHeight w:val="117"/>
        </w:trPr>
        <w:tc>
          <w:tcPr>
            <w:tcW w:w="2042" w:type="dxa"/>
            <w:tcBorders>
              <w:top w:val="single" w:sz="4" w:space="0" w:color="A3BBD5"/>
              <w:bottom w:val="nil"/>
            </w:tcBorders>
            <w:shd w:val="clear" w:color="000000" w:fill="E6F0FA"/>
            <w:hideMark/>
          </w:tcPr>
          <w:p w:rsidR="006A719A" w:rsidRPr="0015666B"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6A719A" w:rsidRPr="00416ED1" w:rsidRDefault="006A719A" w:rsidP="002919FB">
            <w:pPr>
              <w:pStyle w:val="IndicatorName"/>
              <w:framePr w:hSpace="0" w:wrap="auto" w:vAnchor="margin" w:hAnchor="text" w:yAlign="inline"/>
              <w:rPr>
                <w:color w:val="auto"/>
              </w:rPr>
            </w:pPr>
            <w:r>
              <w:t>Tobacco use among persons aged 18</w:t>
            </w:r>
            <w:r w:rsidRPr="00F22279">
              <w:t>+ years</w:t>
            </w:r>
          </w:p>
        </w:tc>
      </w:tr>
      <w:tr w:rsidR="006A719A" w:rsidRPr="00DE0966" w:rsidTr="002919FB">
        <w:trPr>
          <w:trHeight w:val="35"/>
        </w:trPr>
        <w:tc>
          <w:tcPr>
            <w:tcW w:w="2042" w:type="dxa"/>
            <w:tcBorders>
              <w:top w:val="nil"/>
              <w:bottom w:val="nil"/>
            </w:tcBorders>
            <w:shd w:val="clear" w:color="000000" w:fill="E6F0FA"/>
            <w:hideMark/>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Indicator name</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sidRPr="00416ED1">
              <w:rPr>
                <w:color w:val="auto"/>
              </w:rPr>
              <w:t>Age-standardized prevalence of current tobacco use among persons aged 18+ years</w:t>
            </w:r>
          </w:p>
        </w:tc>
      </w:tr>
      <w:tr w:rsidR="006A719A" w:rsidRPr="00DE0966" w:rsidTr="002919FB">
        <w:trPr>
          <w:trHeight w:val="23"/>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Domain</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sidRPr="00416ED1">
              <w:rPr>
                <w:color w:val="auto"/>
              </w:rPr>
              <w:t>Risk factors</w:t>
            </w:r>
          </w:p>
        </w:tc>
      </w:tr>
      <w:tr w:rsidR="006A719A" w:rsidRPr="00DE0966" w:rsidTr="002919FB">
        <w:trPr>
          <w:trHeight w:val="23"/>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Pr>
                <w:color w:val="auto"/>
              </w:rPr>
              <w:t>NCDs and nutrition</w:t>
            </w:r>
          </w:p>
        </w:tc>
      </w:tr>
      <w:tr w:rsidR="006A719A" w:rsidRPr="00DE0966" w:rsidTr="002919FB">
        <w:trPr>
          <w:trHeight w:val="23"/>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Associated terms</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t>Noncommunicable diseases</w:t>
            </w:r>
          </w:p>
        </w:tc>
      </w:tr>
      <w:tr w:rsidR="006A719A" w:rsidRPr="00DE0966" w:rsidTr="002919FB">
        <w:trPr>
          <w:trHeight w:val="23"/>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Definition</w:t>
            </w:r>
          </w:p>
        </w:tc>
        <w:tc>
          <w:tcPr>
            <w:tcW w:w="7654" w:type="dxa"/>
            <w:shd w:val="clear" w:color="auto" w:fill="auto"/>
          </w:tcPr>
          <w:p w:rsidR="006A719A" w:rsidRDefault="006A719A" w:rsidP="002919FB">
            <w:pPr>
              <w:pStyle w:val="IndicatorText"/>
              <w:framePr w:hSpace="0" w:wrap="auto" w:vAnchor="margin" w:hAnchor="text" w:yAlign="inline"/>
              <w:rPr>
                <w:color w:val="auto"/>
              </w:rPr>
            </w:pPr>
            <w:r w:rsidRPr="00416ED1">
              <w:rPr>
                <w:color w:val="auto"/>
              </w:rPr>
              <w:t>Age-standardized prevalence of current tobacco use among persons aged 18+ years</w:t>
            </w:r>
            <w:r>
              <w:rPr>
                <w:color w:val="auto"/>
              </w:rPr>
              <w:t xml:space="preserve">. </w:t>
            </w:r>
            <w:r w:rsidRPr="00416ED1">
              <w:rPr>
                <w:color w:val="auto"/>
              </w:rPr>
              <w:t xml:space="preserve">“Smoked tobacco products” include the consumption of cigarettes, </w:t>
            </w:r>
            <w:proofErr w:type="spellStart"/>
            <w:r w:rsidRPr="00416ED1">
              <w:rPr>
                <w:color w:val="auto"/>
              </w:rPr>
              <w:t>bidis</w:t>
            </w:r>
            <w:proofErr w:type="spellEnd"/>
            <w:r w:rsidRPr="00416ED1">
              <w:rPr>
                <w:color w:val="auto"/>
              </w:rPr>
              <w:t xml:space="preserve">, cigars, cheroots, pipes, shisha (water pipes), fine-cut smoking articles (roll-your-own), </w:t>
            </w:r>
            <w:proofErr w:type="spellStart"/>
            <w:r w:rsidRPr="00416ED1">
              <w:rPr>
                <w:color w:val="auto"/>
              </w:rPr>
              <w:t>krekets</w:t>
            </w:r>
            <w:proofErr w:type="spellEnd"/>
            <w:r w:rsidRPr="00416ED1">
              <w:rPr>
                <w:color w:val="auto"/>
              </w:rPr>
              <w:t>, and any other form of smoked tobacco.</w:t>
            </w:r>
          </w:p>
          <w:p w:rsidR="006A719A" w:rsidRPr="00416ED1" w:rsidRDefault="006A719A" w:rsidP="002919FB">
            <w:pPr>
              <w:pStyle w:val="IndicatorText"/>
              <w:framePr w:hSpace="0" w:wrap="auto" w:vAnchor="margin" w:hAnchor="text" w:yAlign="inline"/>
              <w:rPr>
                <w:color w:val="auto"/>
              </w:rPr>
            </w:pPr>
            <w:r w:rsidRPr="00416ED1">
              <w:rPr>
                <w:color w:val="auto"/>
              </w:rPr>
              <w:t xml:space="preserve">"Smokeless tobacco" includes moist snuff, plug, creamy snuff, </w:t>
            </w:r>
            <w:proofErr w:type="spellStart"/>
            <w:r w:rsidRPr="00416ED1">
              <w:rPr>
                <w:color w:val="auto"/>
              </w:rPr>
              <w:t>dissolvables</w:t>
            </w:r>
            <w:proofErr w:type="spellEnd"/>
            <w:r w:rsidRPr="00416ED1">
              <w:rPr>
                <w:color w:val="auto"/>
              </w:rPr>
              <w:t xml:space="preserve">, dry snuff, </w:t>
            </w:r>
            <w:proofErr w:type="spellStart"/>
            <w:r w:rsidRPr="00416ED1">
              <w:rPr>
                <w:color w:val="auto"/>
              </w:rPr>
              <w:t>gul</w:t>
            </w:r>
            <w:proofErr w:type="spellEnd"/>
            <w:r w:rsidRPr="00416ED1">
              <w:rPr>
                <w:color w:val="auto"/>
              </w:rPr>
              <w:t xml:space="preserve">, loose leaf, red tooth powder, snus, </w:t>
            </w:r>
            <w:proofErr w:type="spellStart"/>
            <w:r w:rsidRPr="00416ED1">
              <w:rPr>
                <w:color w:val="auto"/>
              </w:rPr>
              <w:t>chimo</w:t>
            </w:r>
            <w:proofErr w:type="spellEnd"/>
            <w:r w:rsidRPr="00416ED1">
              <w:rPr>
                <w:color w:val="auto"/>
              </w:rPr>
              <w:t xml:space="preserve">, </w:t>
            </w:r>
            <w:proofErr w:type="spellStart"/>
            <w:r w:rsidRPr="00416ED1">
              <w:rPr>
                <w:color w:val="auto"/>
              </w:rPr>
              <w:t>gutkha</w:t>
            </w:r>
            <w:proofErr w:type="spellEnd"/>
            <w:r w:rsidRPr="00416ED1">
              <w:rPr>
                <w:color w:val="auto"/>
              </w:rPr>
              <w:t xml:space="preserve">, </w:t>
            </w:r>
            <w:proofErr w:type="spellStart"/>
            <w:r w:rsidRPr="00416ED1">
              <w:rPr>
                <w:color w:val="auto"/>
              </w:rPr>
              <w:t>khaini</w:t>
            </w:r>
            <w:proofErr w:type="spellEnd"/>
            <w:r w:rsidRPr="00416ED1">
              <w:rPr>
                <w:color w:val="auto"/>
              </w:rPr>
              <w:t xml:space="preserve">, </w:t>
            </w:r>
            <w:proofErr w:type="spellStart"/>
            <w:r w:rsidRPr="00416ED1">
              <w:rPr>
                <w:color w:val="auto"/>
              </w:rPr>
              <w:t>gudakhu</w:t>
            </w:r>
            <w:proofErr w:type="spellEnd"/>
            <w:r w:rsidRPr="00416ED1">
              <w:rPr>
                <w:color w:val="auto"/>
              </w:rPr>
              <w:t xml:space="preserve">, </w:t>
            </w:r>
            <w:proofErr w:type="spellStart"/>
            <w:r w:rsidRPr="00416ED1">
              <w:rPr>
                <w:color w:val="auto"/>
              </w:rPr>
              <w:t>zarda</w:t>
            </w:r>
            <w:proofErr w:type="spellEnd"/>
            <w:r w:rsidRPr="00416ED1">
              <w:rPr>
                <w:color w:val="auto"/>
              </w:rPr>
              <w:t xml:space="preserve">, </w:t>
            </w:r>
            <w:proofErr w:type="spellStart"/>
            <w:r w:rsidRPr="00416ED1">
              <w:rPr>
                <w:color w:val="auto"/>
              </w:rPr>
              <w:t>quiwam</w:t>
            </w:r>
            <w:proofErr w:type="spellEnd"/>
            <w:r w:rsidRPr="00416ED1">
              <w:rPr>
                <w:color w:val="auto"/>
              </w:rPr>
              <w:t xml:space="preserve">, </w:t>
            </w:r>
            <w:proofErr w:type="spellStart"/>
            <w:r w:rsidRPr="00416ED1">
              <w:rPr>
                <w:color w:val="auto"/>
              </w:rPr>
              <w:t>dohra</w:t>
            </w:r>
            <w:proofErr w:type="spellEnd"/>
            <w:r w:rsidRPr="00416ED1">
              <w:rPr>
                <w:color w:val="auto"/>
              </w:rPr>
              <w:t xml:space="preserve">, </w:t>
            </w:r>
            <w:proofErr w:type="spellStart"/>
            <w:r w:rsidRPr="00416ED1">
              <w:rPr>
                <w:color w:val="auto"/>
              </w:rPr>
              <w:t>tuibur</w:t>
            </w:r>
            <w:proofErr w:type="spellEnd"/>
            <w:r w:rsidRPr="00416ED1">
              <w:rPr>
                <w:color w:val="auto"/>
              </w:rPr>
              <w:t xml:space="preserve">, </w:t>
            </w:r>
            <w:proofErr w:type="spellStart"/>
            <w:r w:rsidRPr="00416ED1">
              <w:rPr>
                <w:color w:val="auto"/>
              </w:rPr>
              <w:t>nasway</w:t>
            </w:r>
            <w:proofErr w:type="spellEnd"/>
            <w:r w:rsidRPr="00416ED1">
              <w:rPr>
                <w:color w:val="auto"/>
              </w:rPr>
              <w:t xml:space="preserve">, </w:t>
            </w:r>
            <w:proofErr w:type="spellStart"/>
            <w:r w:rsidRPr="00416ED1">
              <w:rPr>
                <w:color w:val="auto"/>
              </w:rPr>
              <w:t>naas</w:t>
            </w:r>
            <w:proofErr w:type="spellEnd"/>
            <w:r w:rsidRPr="00416ED1">
              <w:rPr>
                <w:color w:val="auto"/>
              </w:rPr>
              <w:t>/</w:t>
            </w:r>
            <w:proofErr w:type="spellStart"/>
            <w:r w:rsidRPr="00416ED1">
              <w:rPr>
                <w:color w:val="auto"/>
              </w:rPr>
              <w:t>naswar</w:t>
            </w:r>
            <w:proofErr w:type="spellEnd"/>
            <w:r w:rsidRPr="00416ED1">
              <w:rPr>
                <w:color w:val="auto"/>
              </w:rPr>
              <w:t xml:space="preserve">, </w:t>
            </w:r>
            <w:proofErr w:type="spellStart"/>
            <w:r w:rsidRPr="00416ED1">
              <w:rPr>
                <w:color w:val="auto"/>
              </w:rPr>
              <w:t>shammah</w:t>
            </w:r>
            <w:proofErr w:type="spellEnd"/>
            <w:r w:rsidRPr="00416ED1">
              <w:rPr>
                <w:color w:val="auto"/>
              </w:rPr>
              <w:t>, betel quid, toombak, pan (betel quid), iq’mik, mishri, tapkeer, tombol and any other tobacco product that is sniffed, held in the mouth, or chewed.</w:t>
            </w:r>
          </w:p>
        </w:tc>
      </w:tr>
      <w:tr w:rsidR="006A719A" w:rsidRPr="00DE0966" w:rsidTr="002919FB">
        <w:trPr>
          <w:trHeight w:val="23"/>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Numerator</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sidRPr="00416ED1">
              <w:rPr>
                <w:color w:val="auto"/>
              </w:rPr>
              <w:t>Number of current tobacco users aged 18+ years.</w:t>
            </w:r>
            <w:r>
              <w:rPr>
                <w:color w:val="auto"/>
              </w:rPr>
              <w:t xml:space="preserve"> </w:t>
            </w:r>
            <w:r w:rsidRPr="00416ED1">
              <w:rPr>
                <w:color w:val="auto"/>
              </w:rPr>
              <w:t>“Current users” include both daily and non-daily users o</w:t>
            </w:r>
            <w:r>
              <w:rPr>
                <w:color w:val="auto"/>
              </w:rPr>
              <w:t>f</w:t>
            </w:r>
            <w:r w:rsidRPr="00416ED1">
              <w:rPr>
                <w:color w:val="auto"/>
              </w:rPr>
              <w:t xml:space="preserve"> smoked or smokeless tobacco</w:t>
            </w:r>
            <w:r>
              <w:rPr>
                <w:color w:val="auto"/>
              </w:rPr>
              <w:t>.</w:t>
            </w:r>
          </w:p>
        </w:tc>
      </w:tr>
      <w:tr w:rsidR="006A719A" w:rsidRPr="00DE0966" w:rsidTr="002919FB">
        <w:trPr>
          <w:trHeight w:val="62"/>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Denominator</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sidRPr="00416ED1">
              <w:rPr>
                <w:color w:val="auto"/>
              </w:rPr>
              <w:t>All respondents of the survey aged 18+ years</w:t>
            </w:r>
            <w:r>
              <w:rPr>
                <w:color w:val="auto"/>
              </w:rPr>
              <w:t>.</w:t>
            </w:r>
          </w:p>
        </w:tc>
      </w:tr>
      <w:tr w:rsidR="006A719A" w:rsidRPr="00DE0966" w:rsidTr="002919FB">
        <w:trPr>
          <w:trHeight w:val="268"/>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Disaggregation/</w:t>
            </w:r>
            <w:r w:rsidRPr="0015666B">
              <w:rPr>
                <w:rFonts w:eastAsia="Times New Roman" w:cstheme="minorHAnsi"/>
                <w:color w:val="003366"/>
                <w:sz w:val="16"/>
                <w:szCs w:val="16"/>
              </w:rPr>
              <w:br/>
              <w:t>additional dimension</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sidRPr="00416ED1">
              <w:rPr>
                <w:color w:val="auto"/>
              </w:rPr>
              <w:t xml:space="preserve">Age, </w:t>
            </w:r>
            <w:r>
              <w:rPr>
                <w:color w:val="auto"/>
              </w:rPr>
              <w:t>s</w:t>
            </w:r>
            <w:r w:rsidRPr="00416ED1">
              <w:rPr>
                <w:color w:val="auto"/>
              </w:rPr>
              <w:t xml:space="preserve">ex, other relevant </w:t>
            </w:r>
            <w:proofErr w:type="spellStart"/>
            <w:r w:rsidRPr="00416ED1">
              <w:rPr>
                <w:color w:val="auto"/>
              </w:rPr>
              <w:t>sociodemographic</w:t>
            </w:r>
            <w:proofErr w:type="spellEnd"/>
            <w:r w:rsidRPr="00416ED1">
              <w:rPr>
                <w:color w:val="auto"/>
              </w:rPr>
              <w:t xml:space="preserve"> </w:t>
            </w:r>
            <w:proofErr w:type="spellStart"/>
            <w:r w:rsidRPr="00416ED1">
              <w:rPr>
                <w:color w:val="auto"/>
              </w:rPr>
              <w:t>stratifiers</w:t>
            </w:r>
            <w:proofErr w:type="spellEnd"/>
            <w:r w:rsidRPr="00416ED1">
              <w:rPr>
                <w:color w:val="auto"/>
              </w:rPr>
              <w:t xml:space="preserve"> where available</w:t>
            </w:r>
          </w:p>
        </w:tc>
      </w:tr>
      <w:tr w:rsidR="006A719A" w:rsidRPr="00DE0966" w:rsidTr="002919FB">
        <w:trPr>
          <w:trHeight w:val="122"/>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Method of measurement</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p>
        </w:tc>
      </w:tr>
      <w:tr w:rsidR="006A719A" w:rsidRPr="00DE0966" w:rsidTr="002919FB">
        <w:trPr>
          <w:trHeight w:val="160"/>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Method of estimation</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sidRPr="00416ED1">
              <w:rPr>
                <w:color w:val="auto"/>
              </w:rPr>
              <w:t>Number of respondents aged 18+ years currently using any tobacco product (smoked or smokeless)/(</w:t>
            </w:r>
            <w:r>
              <w:rPr>
                <w:color w:val="auto"/>
              </w:rPr>
              <w:t>n</w:t>
            </w:r>
            <w:r w:rsidRPr="00416ED1">
              <w:rPr>
                <w:color w:val="auto"/>
              </w:rPr>
              <w:t>umber of survey respondents aged 18+ years) x 100</w:t>
            </w:r>
            <w:r>
              <w:rPr>
                <w:color w:val="auto"/>
              </w:rPr>
              <w:t>.</w:t>
            </w:r>
          </w:p>
        </w:tc>
      </w:tr>
      <w:tr w:rsidR="006A719A" w:rsidRPr="00DE0966" w:rsidTr="002919FB">
        <w:trPr>
          <w:trHeight w:val="224"/>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Measurement frequency</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sidRPr="00416ED1">
              <w:rPr>
                <w:color w:val="auto"/>
              </w:rPr>
              <w:t>At least every 5 years</w:t>
            </w:r>
          </w:p>
        </w:tc>
      </w:tr>
      <w:tr w:rsidR="006A719A" w:rsidRPr="00DE0966" w:rsidTr="002919FB">
        <w:trPr>
          <w:trHeight w:val="159"/>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3634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15666B">
              <w:rPr>
                <w:rFonts w:eastAsia="Times New Roman" w:cstheme="minorHAnsi"/>
                <w:color w:val="003366"/>
                <w:sz w:val="16"/>
                <w:szCs w:val="16"/>
              </w:rPr>
              <w:t>framework</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Pr>
                <w:color w:val="auto"/>
              </w:rPr>
              <w:t>Outcome</w:t>
            </w:r>
          </w:p>
        </w:tc>
      </w:tr>
      <w:tr w:rsidR="006A719A" w:rsidRPr="00DE0966" w:rsidTr="002919FB">
        <w:trPr>
          <w:trHeight w:val="82"/>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Preferred data sources</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sidRPr="00416ED1">
              <w:rPr>
                <w:color w:val="auto"/>
              </w:rPr>
              <w:t>Population-based (preferably nationally representative) survey</w:t>
            </w:r>
          </w:p>
        </w:tc>
      </w:tr>
      <w:tr w:rsidR="006A719A" w:rsidRPr="00DE0966" w:rsidTr="002919FB">
        <w:trPr>
          <w:trHeight w:val="160"/>
        </w:trPr>
        <w:tc>
          <w:tcPr>
            <w:tcW w:w="2042" w:type="dxa"/>
            <w:tcBorders>
              <w:top w:val="nil"/>
              <w:bottom w:val="nil"/>
            </w:tcBorders>
            <w:shd w:val="clear" w:color="000000" w:fill="E6F0FA"/>
          </w:tcPr>
          <w:p w:rsidR="006A719A" w:rsidRPr="0015666B" w:rsidRDefault="006A719A" w:rsidP="002919FB">
            <w:pPr>
              <w:spacing w:before="80" w:after="80"/>
              <w:rPr>
                <w:rFonts w:eastAsia="Times New Roman" w:cstheme="minorHAnsi"/>
                <w:color w:val="003366"/>
                <w:sz w:val="16"/>
                <w:szCs w:val="16"/>
              </w:rPr>
            </w:pPr>
            <w:r w:rsidRPr="0015666B">
              <w:rPr>
                <w:rFonts w:eastAsia="Times New Roman" w:cstheme="minorHAnsi"/>
                <w:color w:val="003366"/>
                <w:sz w:val="16"/>
                <w:szCs w:val="16"/>
              </w:rPr>
              <w:t>Other possible data sources</w:t>
            </w:r>
          </w:p>
          <w:p w:rsidR="006A719A" w:rsidRPr="0015666B" w:rsidRDefault="006A719A" w:rsidP="002919FB">
            <w:pPr>
              <w:spacing w:before="80" w:after="80"/>
              <w:rPr>
                <w:rFonts w:eastAsia="Times New Roman" w:cstheme="minorHAnsi"/>
                <w:color w:val="003366"/>
                <w:sz w:val="16"/>
                <w:szCs w:val="16"/>
              </w:rPr>
            </w:pP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p>
        </w:tc>
      </w:tr>
      <w:tr w:rsidR="006A719A" w:rsidRPr="00DE0966" w:rsidTr="002919FB">
        <w:trPr>
          <w:trHeight w:val="160"/>
        </w:trPr>
        <w:tc>
          <w:tcPr>
            <w:tcW w:w="2042" w:type="dxa"/>
            <w:tcBorders>
              <w:top w:val="nil"/>
              <w:bottom w:val="single" w:sz="4" w:space="0" w:color="A3BBD5"/>
            </w:tcBorders>
            <w:shd w:val="clear" w:color="000000" w:fill="E6F0FA"/>
          </w:tcPr>
          <w:p w:rsidR="006A719A" w:rsidRPr="0015666B"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6A719A" w:rsidRPr="00416ED1" w:rsidRDefault="006A719A" w:rsidP="002919FB">
            <w:pPr>
              <w:pStyle w:val="IndicatorText"/>
              <w:framePr w:hSpace="0" w:wrap="auto" w:vAnchor="margin" w:hAnchor="text" w:yAlign="inline"/>
              <w:rPr>
                <w:color w:val="auto"/>
              </w:rPr>
            </w:pPr>
            <w:r w:rsidRPr="003F38AB">
              <w:rPr>
                <w:color w:val="auto"/>
              </w:rPr>
              <w:t>Draft comprehensive global monitoring framework and targets for the prevention and control of noncommunicable diseases, including a set of indicators. Agenda item A66/8, Sixty-sixth World Health Assembly, 20–28 May 2013. Geneva: World Health Organization; 2013 (http://apps.who.int/gb/ebwha/pdf_files/WHA66/A66_8-en.pdf?ua=1, accessed 29 March 2015).</w:t>
            </w:r>
          </w:p>
          <w:p w:rsidR="006A719A" w:rsidRPr="00416ED1" w:rsidRDefault="006A719A" w:rsidP="002919FB">
            <w:pPr>
              <w:pStyle w:val="IndicatorText"/>
              <w:framePr w:hSpace="0" w:wrap="auto" w:vAnchor="margin" w:hAnchor="text" w:yAlign="inline"/>
              <w:rPr>
                <w:color w:val="auto"/>
              </w:rPr>
            </w:pPr>
            <w:r w:rsidRPr="00467E32">
              <w:rPr>
                <w:iCs/>
                <w:color w:val="auto"/>
                <w:lang w:val="en-US"/>
              </w:rPr>
              <w:t>Global estimate of the burden of disease from second-hand smoke. Geneva: World Health Organization; 2010.</w:t>
            </w:r>
          </w:p>
        </w:tc>
      </w:tr>
    </w:tbl>
    <w:p w:rsidR="006A719A" w:rsidRDefault="006A719A" w:rsidP="006A719A"/>
    <w:p w:rsidR="006A719A" w:rsidRDefault="006A719A" w:rsidP="006A719A">
      <w:r>
        <w:br w:type="page"/>
      </w:r>
    </w:p>
    <w:p w:rsidR="00405F21" w:rsidRPr="00277801" w:rsidRDefault="00405F21" w:rsidP="00405F2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b</w:t>
      </w:r>
      <w:r w:rsidRPr="00277801">
        <w:rPr>
          <w:color w:val="FFFFFF" w:themeColor="background1"/>
        </w:rPr>
        <w:t xml:space="preserve">: </w:t>
      </w:r>
      <w:r>
        <w:rPr>
          <w:color w:val="FFFFFF" w:themeColor="background1"/>
        </w:rPr>
        <w:tab/>
      </w:r>
      <w:r w:rsidRPr="00405F21">
        <w:rPr>
          <w:color w:val="FFFFFF" w:themeColor="background1"/>
        </w:rPr>
        <w:t>Support the research and development of vaccines and medicines for the communicable and non-communicable diseases that primarily affect developing countries, provide access to affordable essential medicines and vaccines, in accordance with the Doha Declaration on the TRIPS Agreement and Public Health, which affirms the right of developing countries to use to the full the provisions in the Agreement on Trade-Related Aspects of Intellectual Property Rights regarding flexibilities to protect public health, and, in particular, provide access to medicines for all.</w:t>
      </w:r>
    </w:p>
    <w:p w:rsidR="006A719A" w:rsidRDefault="00405F21" w:rsidP="006A719A">
      <w:pPr>
        <w:pStyle w:val="Tablesub-heading"/>
      </w:pPr>
      <w:r>
        <w:t>Indicator 3.b.1:</w:t>
      </w:r>
      <w:r>
        <w:tab/>
      </w:r>
      <w:commentRangeStart w:id="23"/>
      <w:r w:rsidR="006A719A" w:rsidRPr="006A719A">
        <w:t xml:space="preserve">Access </w:t>
      </w:r>
      <w:commentRangeEnd w:id="23"/>
      <w:r w:rsidR="00111071">
        <w:rPr>
          <w:rStyle w:val="CommentReference"/>
          <w:rFonts w:ascii="Garamond" w:eastAsia="SimSun" w:hAnsi="Garamond" w:cs="Times New Roman"/>
          <w:b w:val="0"/>
          <w:bCs w:val="0"/>
          <w:noProof w:val="0"/>
          <w:color w:val="auto"/>
          <w:lang w:val="en-US"/>
        </w:rPr>
        <w:commentReference w:id="23"/>
      </w:r>
      <w:r w:rsidR="006A719A" w:rsidRPr="006A719A">
        <w:t>to affordable essential medicines</w:t>
      </w:r>
    </w:p>
    <w:tbl>
      <w:tblPr>
        <w:tblpPr w:leftFromText="180" w:rightFromText="180" w:vertAnchor="text" w:horzAnchor="margin" w:tblpY="86"/>
        <w:tblW w:w="9720"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78"/>
      </w:tblGrid>
      <w:tr w:rsidR="006A719A" w:rsidRPr="00DE0966" w:rsidTr="002919FB">
        <w:trPr>
          <w:trHeight w:val="117"/>
        </w:trPr>
        <w:tc>
          <w:tcPr>
            <w:tcW w:w="2042" w:type="dxa"/>
            <w:tcBorders>
              <w:top w:val="single" w:sz="4" w:space="0" w:color="A3BBD5"/>
              <w:bottom w:val="nil"/>
            </w:tcBorders>
            <w:shd w:val="clear" w:color="000000" w:fill="E6F0FA"/>
            <w:hideMark/>
          </w:tcPr>
          <w:p w:rsidR="006A719A" w:rsidRPr="00B13F70" w:rsidRDefault="006A719A" w:rsidP="00111071">
            <w:pPr>
              <w:spacing w:after="0"/>
              <w:rPr>
                <w:rFonts w:eastAsia="Times New Roman" w:cstheme="minorHAnsi"/>
                <w:color w:val="003366"/>
                <w:sz w:val="16"/>
                <w:szCs w:val="16"/>
              </w:rPr>
            </w:pPr>
            <w:r>
              <w:rPr>
                <w:rFonts w:eastAsia="Times New Roman" w:cstheme="minorHAnsi"/>
                <w:color w:val="003366"/>
                <w:sz w:val="16"/>
                <w:szCs w:val="16"/>
              </w:rPr>
              <w:t>Abbreviated name</w:t>
            </w:r>
          </w:p>
        </w:tc>
        <w:tc>
          <w:tcPr>
            <w:tcW w:w="7678" w:type="dxa"/>
            <w:tcBorders>
              <w:top w:val="single" w:sz="4" w:space="0" w:color="A3BBD5"/>
            </w:tcBorders>
            <w:shd w:val="clear" w:color="auto" w:fill="auto"/>
            <w:vAlign w:val="center"/>
          </w:tcPr>
          <w:p w:rsidR="006A719A" w:rsidRPr="00B13F70" w:rsidRDefault="006A719A" w:rsidP="00111071">
            <w:pPr>
              <w:pStyle w:val="IndicatorName"/>
              <w:framePr w:hSpace="0" w:wrap="auto" w:vAnchor="margin" w:hAnchor="text" w:yAlign="inline"/>
              <w:spacing w:beforeLines="0" w:before="0" w:after="0"/>
            </w:pPr>
            <w:bookmarkStart w:id="24" w:name="_Toc418774296"/>
            <w:r w:rsidRPr="00AF105C">
              <w:t>Availability of essential medicines and commodities</w:t>
            </w:r>
            <w:bookmarkEnd w:id="24"/>
          </w:p>
        </w:tc>
      </w:tr>
      <w:tr w:rsidR="006A719A" w:rsidRPr="00DE0966" w:rsidTr="002919FB">
        <w:trPr>
          <w:trHeight w:val="35"/>
        </w:trPr>
        <w:tc>
          <w:tcPr>
            <w:tcW w:w="2042" w:type="dxa"/>
            <w:tcBorders>
              <w:top w:val="nil"/>
              <w:bottom w:val="nil"/>
            </w:tcBorders>
            <w:shd w:val="clear" w:color="000000" w:fill="E6F0FA"/>
            <w:hideMark/>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Indicator name</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Availability of essential medicines and commodities</w:t>
            </w:r>
          </w:p>
        </w:tc>
      </w:tr>
      <w:tr w:rsidR="006A719A" w:rsidRPr="00DE0966" w:rsidTr="002919FB">
        <w:trPr>
          <w:trHeight w:val="23"/>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Domain</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 xml:space="preserve">Health systems </w:t>
            </w:r>
          </w:p>
        </w:tc>
      </w:tr>
      <w:tr w:rsidR="006A719A" w:rsidRPr="00DE0966" w:rsidTr="002919FB">
        <w:trPr>
          <w:trHeight w:val="23"/>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Pr>
                <w:rFonts w:eastAsia="Times New Roman" w:cstheme="minorHAnsi"/>
                <w:color w:val="003366"/>
                <w:sz w:val="16"/>
                <w:szCs w:val="16"/>
              </w:rPr>
              <w:t>Subdomain</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t>HSS</w:t>
            </w:r>
          </w:p>
        </w:tc>
      </w:tr>
      <w:tr w:rsidR="006A719A" w:rsidRPr="00DE0966" w:rsidTr="002919FB">
        <w:trPr>
          <w:trHeight w:val="23"/>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Associated terms</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Access</w:t>
            </w:r>
          </w:p>
        </w:tc>
      </w:tr>
      <w:tr w:rsidR="006A719A" w:rsidRPr="00DE0966" w:rsidTr="002919FB">
        <w:trPr>
          <w:trHeight w:val="23"/>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Definition</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Percentage of health facilities with essential medicines and life</w:t>
            </w:r>
            <w:r>
              <w:t>-saving commodities</w:t>
            </w:r>
          </w:p>
        </w:tc>
      </w:tr>
      <w:tr w:rsidR="006A719A" w:rsidRPr="00DE0966" w:rsidTr="002919FB">
        <w:trPr>
          <w:trHeight w:val="23"/>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Numerator</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Number of facilities with essential medicines in stock</w:t>
            </w:r>
            <w:r>
              <w:t>.</w:t>
            </w:r>
          </w:p>
        </w:tc>
      </w:tr>
      <w:tr w:rsidR="006A719A" w:rsidRPr="00DE0966" w:rsidTr="002919FB">
        <w:trPr>
          <w:trHeight w:val="62"/>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Denominator</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Total number of health facilities</w:t>
            </w:r>
            <w:r>
              <w:t>.</w:t>
            </w:r>
          </w:p>
        </w:tc>
      </w:tr>
      <w:tr w:rsidR="006A719A" w:rsidRPr="00DE0966" w:rsidTr="002919FB">
        <w:trPr>
          <w:trHeight w:val="268"/>
        </w:trPr>
        <w:tc>
          <w:tcPr>
            <w:tcW w:w="2042" w:type="dxa"/>
            <w:tcBorders>
              <w:top w:val="nil"/>
              <w:bottom w:val="nil"/>
            </w:tcBorders>
            <w:shd w:val="clear" w:color="000000" w:fill="E6F0FA"/>
          </w:tcPr>
          <w:p w:rsidR="006A719A" w:rsidRPr="00B13F70" w:rsidRDefault="006A719A" w:rsidP="002919FB">
            <w:pPr>
              <w:spacing w:before="80" w:after="80"/>
              <w:rPr>
                <w:rFonts w:eastAsia="Times New Roman" w:cstheme="minorHAnsi"/>
                <w:color w:val="003366"/>
                <w:sz w:val="16"/>
                <w:szCs w:val="16"/>
              </w:rPr>
            </w:pPr>
            <w:r w:rsidRPr="00B13F70">
              <w:rPr>
                <w:rFonts w:eastAsia="Times New Roman" w:cstheme="minorHAnsi"/>
                <w:color w:val="003366"/>
                <w:sz w:val="16"/>
                <w:szCs w:val="16"/>
              </w:rPr>
              <w:t>Disaggregation/</w:t>
            </w:r>
            <w:r w:rsidRPr="00B13F70">
              <w:rPr>
                <w:rFonts w:eastAsia="Times New Roman" w:cstheme="minorHAnsi"/>
                <w:color w:val="003366"/>
                <w:sz w:val="16"/>
                <w:szCs w:val="16"/>
              </w:rPr>
              <w:br/>
              <w:t>additional dimension</w:t>
            </w:r>
          </w:p>
        </w:tc>
        <w:tc>
          <w:tcPr>
            <w:tcW w:w="7678" w:type="dxa"/>
            <w:shd w:val="clear" w:color="auto" w:fill="auto"/>
          </w:tcPr>
          <w:p w:rsidR="006A719A" w:rsidRPr="00111071" w:rsidRDefault="006A719A" w:rsidP="002919FB">
            <w:pPr>
              <w:pStyle w:val="IndicatorText"/>
              <w:framePr w:hSpace="0" w:wrap="auto" w:vAnchor="margin" w:hAnchor="text" w:yAlign="inline"/>
              <w:rPr>
                <w:sz w:val="15"/>
                <w:szCs w:val="15"/>
              </w:rPr>
            </w:pPr>
            <w:r w:rsidRPr="00111071">
              <w:rPr>
                <w:sz w:val="15"/>
                <w:szCs w:val="15"/>
              </w:rPr>
              <w:t xml:space="preserve">Facility type, facility managing authority (public/private), specific type of medicine/commodity (e.g. priority medicines for women and children, vaccines, ART, family planning, essential NCD medicines) </w:t>
            </w:r>
          </w:p>
          <w:p w:rsidR="006A719A" w:rsidRPr="00111071" w:rsidRDefault="006A719A" w:rsidP="002919FB">
            <w:pPr>
              <w:pStyle w:val="IndicatorText"/>
              <w:framePr w:hSpace="0" w:wrap="auto" w:vAnchor="margin" w:hAnchor="text" w:yAlign="inline"/>
              <w:rPr>
                <w:sz w:val="15"/>
                <w:szCs w:val="15"/>
              </w:rPr>
            </w:pPr>
            <w:r w:rsidRPr="00111071">
              <w:rPr>
                <w:sz w:val="15"/>
                <w:szCs w:val="15"/>
                <w:u w:val="single"/>
              </w:rPr>
              <w:t>WHO-recommended essential core list of medicines</w:t>
            </w:r>
            <w:r w:rsidRPr="00111071">
              <w:rPr>
                <w:sz w:val="15"/>
                <w:szCs w:val="15"/>
              </w:rPr>
              <w:t xml:space="preserve">: bronchodilator inhaler, steroid inhaler, glibenclamide, metformin, insulin, angiotensin-converting-enzyme (ACE) inhibitor, calcium channel blocker, statin, aspirin, thiazide diuretic, beta-blocker, omeprazole tablet, diazepam injection, fluoxetine tablet, haloperidol tablet, carbamazepine tablet, amoxicillin tablet/capsule, amoxicillin suspension, ampicillin injection, ceftriaxone injection, gentamicin injection, oral rehydration salts, zinc sulfate. </w:t>
            </w:r>
          </w:p>
          <w:p w:rsidR="006A719A" w:rsidRPr="00111071" w:rsidRDefault="006A719A" w:rsidP="002919FB">
            <w:pPr>
              <w:pStyle w:val="IndicatorText"/>
              <w:framePr w:hSpace="0" w:wrap="auto" w:vAnchor="margin" w:hAnchor="text" w:yAlign="inline"/>
              <w:rPr>
                <w:sz w:val="15"/>
                <w:szCs w:val="15"/>
              </w:rPr>
            </w:pPr>
            <w:r w:rsidRPr="00111071">
              <w:rPr>
                <w:sz w:val="15"/>
                <w:szCs w:val="15"/>
                <w:u w:val="single"/>
              </w:rPr>
              <w:t>Essential NCD medicines</w:t>
            </w:r>
            <w:r w:rsidRPr="00111071">
              <w:rPr>
                <w:sz w:val="15"/>
                <w:szCs w:val="15"/>
              </w:rPr>
              <w:t>: at least aspirin, a statin, an ACE inhibitor, thiazide diuretic, a long-acting calcium channel blocker, metformin, insulin, a bronchodilator and a steroid inhalant.</w:t>
            </w:r>
          </w:p>
          <w:p w:rsidR="006A719A" w:rsidRPr="00111071" w:rsidRDefault="006A719A" w:rsidP="002919FB">
            <w:pPr>
              <w:pStyle w:val="IndicatorText"/>
              <w:framePr w:hSpace="0" w:wrap="auto" w:vAnchor="margin" w:hAnchor="text" w:yAlign="inline"/>
              <w:rPr>
                <w:sz w:val="15"/>
                <w:szCs w:val="15"/>
              </w:rPr>
            </w:pPr>
            <w:r w:rsidRPr="00111071">
              <w:rPr>
                <w:sz w:val="15"/>
                <w:szCs w:val="15"/>
                <w:u w:val="single"/>
              </w:rPr>
              <w:t>Priority medicines for women and children</w:t>
            </w:r>
            <w:r w:rsidRPr="00111071">
              <w:rPr>
                <w:sz w:val="15"/>
                <w:szCs w:val="15"/>
              </w:rPr>
              <w:t>: amoxicillin tablet/capsule, amoxicillin suspension, ampicillin injection, ceftriaxone injection, gentamicin injection, oral rehydration salts, zinc sulphate, oxytocin injection, magnesium sulphate injection.</w:t>
            </w:r>
          </w:p>
          <w:p w:rsidR="006A719A" w:rsidRPr="00111071" w:rsidRDefault="006A719A" w:rsidP="002919FB">
            <w:pPr>
              <w:pStyle w:val="IndicatorText"/>
              <w:framePr w:hSpace="0" w:wrap="auto" w:vAnchor="margin" w:hAnchor="text" w:yAlign="inline"/>
              <w:rPr>
                <w:sz w:val="15"/>
                <w:szCs w:val="15"/>
              </w:rPr>
            </w:pPr>
            <w:r w:rsidRPr="00111071">
              <w:rPr>
                <w:sz w:val="15"/>
                <w:szCs w:val="15"/>
                <w:u w:val="single"/>
              </w:rPr>
              <w:t>Suggested core list of medicines for pricing/affordability surveys</w:t>
            </w:r>
            <w:r w:rsidRPr="00111071">
              <w:rPr>
                <w:sz w:val="15"/>
                <w:szCs w:val="15"/>
              </w:rPr>
              <w:t>: Salbutamol inhaler 100 mcg per dose (200 doses); beclometasone inhaler 100 mcg/dose (200 doses); glibenclamide 5 mg tablet; metformin 500 mg tablet; insulin regular 100 IU/ml, 10 ml vial; enalapril 5 mg tablet; amlodipine 5 mg tablet; simvastatin 20 mg tablet; aspirin 100 mg tablet; hydrochlorothiazide 25 mg tablet; carvedilol 12.5 mg tablet; omeprazole 20 mg tablet; diazepam 10 mg/2 ml injection; fluoxetine 20 mg tablet; haloperidol 5 mg tablet; carbamazepine 200 mg tablet; amoxicillin 500 mg capsule/tablet; amoxicillin 250 mg/5 ml suspension; ampicillin 500 mg injection; ceftriaxone 1 G vial; gentamicin 80 mg/2 ml injection; oral rehydration salts (sachet for 1 litre); zinc sulfate 2 0mg tablet; oxytocin injection (5 or 10 iu); magnesium sulfate 50% injection 10 ml vial.</w:t>
            </w:r>
          </w:p>
        </w:tc>
      </w:tr>
      <w:tr w:rsidR="006A719A" w:rsidRPr="00DE0966" w:rsidTr="002919FB">
        <w:trPr>
          <w:trHeight w:val="122"/>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Method of measurement</w:t>
            </w:r>
          </w:p>
        </w:tc>
        <w:tc>
          <w:tcPr>
            <w:tcW w:w="7678" w:type="dxa"/>
            <w:shd w:val="clear" w:color="auto" w:fill="auto"/>
          </w:tcPr>
          <w:p w:rsidR="006A719A" w:rsidRPr="00111071" w:rsidRDefault="006A719A" w:rsidP="00111071">
            <w:pPr>
              <w:pStyle w:val="IndicatorText"/>
              <w:framePr w:hSpace="0" w:wrap="auto" w:vAnchor="margin" w:hAnchor="text" w:yAlign="inline"/>
              <w:spacing w:before="0" w:after="0"/>
              <w:rPr>
                <w:sz w:val="15"/>
                <w:szCs w:val="15"/>
              </w:rPr>
            </w:pPr>
            <w:r w:rsidRPr="00111071">
              <w:rPr>
                <w:sz w:val="15"/>
                <w:szCs w:val="15"/>
              </w:rPr>
              <w:t>Stock out data may also refer to specific time period (1 month, 3 months).</w:t>
            </w:r>
          </w:p>
          <w:p w:rsidR="006A719A" w:rsidRPr="00111071" w:rsidRDefault="006A719A" w:rsidP="00111071">
            <w:pPr>
              <w:pStyle w:val="IndicatorText"/>
              <w:framePr w:hSpace="0" w:wrap="auto" w:vAnchor="margin" w:hAnchor="text" w:yAlign="inline"/>
              <w:spacing w:before="0" w:after="0"/>
              <w:rPr>
                <w:sz w:val="15"/>
                <w:szCs w:val="15"/>
              </w:rPr>
            </w:pPr>
            <w:r w:rsidRPr="00111071">
              <w:rPr>
                <w:sz w:val="15"/>
                <w:szCs w:val="15"/>
              </w:rPr>
              <w:t>Data on the availability of a specific list of medicines are collected from a survey of a sample of facilities. Availability is reported as the percentage of medicine outlets where a particular medicine was found on the day of the survey. Health facility reports may also include stockouts indicators but require regular independent verification.</w:t>
            </w:r>
          </w:p>
        </w:tc>
      </w:tr>
      <w:tr w:rsidR="006A719A" w:rsidRPr="00DE0966" w:rsidTr="002919FB">
        <w:trPr>
          <w:trHeight w:val="160"/>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Method of estimation</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p>
        </w:tc>
      </w:tr>
      <w:tr w:rsidR="006A719A" w:rsidRPr="00DE0966" w:rsidTr="002919FB">
        <w:trPr>
          <w:trHeight w:val="224"/>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Measurement frequency</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Annual or biannual</w:t>
            </w:r>
          </w:p>
        </w:tc>
      </w:tr>
      <w:tr w:rsidR="006A719A" w:rsidRPr="00DE0966" w:rsidTr="002919FB">
        <w:trPr>
          <w:trHeight w:val="159"/>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3634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B13F70">
              <w:rPr>
                <w:rFonts w:eastAsia="Times New Roman" w:cstheme="minorHAnsi"/>
                <w:color w:val="003366"/>
                <w:sz w:val="16"/>
                <w:szCs w:val="16"/>
              </w:rPr>
              <w:t>framework</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Output</w:t>
            </w:r>
          </w:p>
        </w:tc>
      </w:tr>
      <w:tr w:rsidR="006A719A" w:rsidRPr="00DE0966" w:rsidTr="002919FB">
        <w:trPr>
          <w:trHeight w:val="82"/>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Preferred data sources</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Special facility surveys</w:t>
            </w:r>
          </w:p>
        </w:tc>
      </w:tr>
      <w:tr w:rsidR="006A719A" w:rsidRPr="00DE0966" w:rsidTr="002919FB">
        <w:trPr>
          <w:trHeight w:val="160"/>
        </w:trPr>
        <w:tc>
          <w:tcPr>
            <w:tcW w:w="2042" w:type="dxa"/>
            <w:tcBorders>
              <w:top w:val="nil"/>
              <w:bottom w:val="nil"/>
            </w:tcBorders>
            <w:shd w:val="clear" w:color="000000" w:fill="E6F0FA"/>
          </w:tcPr>
          <w:p w:rsidR="006A719A" w:rsidRPr="00B13F70" w:rsidRDefault="006A719A" w:rsidP="00111071">
            <w:pPr>
              <w:spacing w:after="0"/>
              <w:rPr>
                <w:rFonts w:eastAsia="Times New Roman" w:cstheme="minorHAnsi"/>
                <w:color w:val="003366"/>
                <w:sz w:val="16"/>
                <w:szCs w:val="16"/>
              </w:rPr>
            </w:pPr>
            <w:r w:rsidRPr="00B13F70">
              <w:rPr>
                <w:rFonts w:eastAsia="Times New Roman" w:cstheme="minorHAnsi"/>
                <w:color w:val="003366"/>
                <w:sz w:val="16"/>
                <w:szCs w:val="16"/>
              </w:rPr>
              <w:t>Other possible data sources</w:t>
            </w:r>
          </w:p>
        </w:tc>
        <w:tc>
          <w:tcPr>
            <w:tcW w:w="7678" w:type="dxa"/>
            <w:shd w:val="clear" w:color="auto" w:fill="auto"/>
          </w:tcPr>
          <w:p w:rsidR="006A719A" w:rsidRPr="00B13F70" w:rsidRDefault="006A719A" w:rsidP="00111071">
            <w:pPr>
              <w:pStyle w:val="IndicatorText"/>
              <w:framePr w:hSpace="0" w:wrap="auto" w:vAnchor="margin" w:hAnchor="text" w:yAlign="inline"/>
              <w:spacing w:before="0" w:after="0"/>
            </w:pPr>
            <w:r w:rsidRPr="00B13F70">
              <w:t>Routine facility information systems</w:t>
            </w:r>
          </w:p>
        </w:tc>
      </w:tr>
      <w:tr w:rsidR="006A719A" w:rsidRPr="00DE0966" w:rsidTr="002919FB">
        <w:trPr>
          <w:trHeight w:val="160"/>
        </w:trPr>
        <w:tc>
          <w:tcPr>
            <w:tcW w:w="2042" w:type="dxa"/>
            <w:tcBorders>
              <w:top w:val="nil"/>
              <w:bottom w:val="single" w:sz="4" w:space="0" w:color="A3BBD5"/>
            </w:tcBorders>
            <w:shd w:val="clear" w:color="000000" w:fill="E6F0FA"/>
          </w:tcPr>
          <w:p w:rsidR="006A719A" w:rsidRPr="00B13F70"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78" w:type="dxa"/>
            <w:shd w:val="clear" w:color="auto" w:fill="auto"/>
          </w:tcPr>
          <w:p w:rsidR="006A719A" w:rsidRPr="00111071" w:rsidRDefault="006A719A" w:rsidP="002919FB">
            <w:pPr>
              <w:pStyle w:val="IndicatorText"/>
              <w:framePr w:hSpace="0" w:wrap="auto" w:vAnchor="margin" w:hAnchor="text" w:yAlign="inline"/>
              <w:rPr>
                <w:sz w:val="14"/>
                <w:szCs w:val="14"/>
              </w:rPr>
            </w:pPr>
            <w:r w:rsidRPr="00111071">
              <w:rPr>
                <w:sz w:val="14"/>
                <w:szCs w:val="14"/>
                <w:lang w:val="en-US"/>
              </w:rPr>
              <w:t>Draft comprehensive global monitoring framework and targets for the prevention and control of noncommunicable diseases, including a set of indicators. Agenda item A66/8, Sixty-sixth World Health Assembly, 20–28 May 2013. Geneva: World Health Organization; 2013 (http://apps.who.int/gb/ebwha/pdf_files/WHA66/A66_8-en.pdf?ua=1, accessed 29 March 2015).</w:t>
            </w:r>
          </w:p>
          <w:p w:rsidR="006A719A" w:rsidRPr="00111071" w:rsidRDefault="006A719A" w:rsidP="002919FB">
            <w:pPr>
              <w:pStyle w:val="IndicatorText"/>
              <w:framePr w:hSpace="0" w:wrap="auto" w:vAnchor="margin" w:hAnchor="text" w:yAlign="inline"/>
              <w:rPr>
                <w:sz w:val="14"/>
                <w:szCs w:val="14"/>
              </w:rPr>
            </w:pPr>
            <w:r w:rsidRPr="00111071">
              <w:rPr>
                <w:sz w:val="14"/>
                <w:szCs w:val="14"/>
                <w:lang w:val="en-US"/>
              </w:rPr>
              <w:t>Indicators for monitoring the Millennium Development Goals: definitions, rationale, concepts and sources. New York (NY): United Nations; 2012 (http://mdgs.un.org/unsd/mi/wiki/MainPage.ashx, accessed 29 March 2015).</w:t>
            </w:r>
          </w:p>
          <w:p w:rsidR="006A719A" w:rsidRPr="00111071" w:rsidRDefault="006A719A" w:rsidP="002919FB">
            <w:pPr>
              <w:pStyle w:val="IndicatorText"/>
              <w:framePr w:hSpace="0" w:wrap="auto" w:vAnchor="margin" w:hAnchor="text" w:yAlign="inline"/>
              <w:rPr>
                <w:sz w:val="14"/>
                <w:szCs w:val="14"/>
              </w:rPr>
            </w:pPr>
            <w:r w:rsidRPr="00111071">
              <w:rPr>
                <w:sz w:val="14"/>
                <w:szCs w:val="14"/>
                <w:lang w:val="en-US"/>
              </w:rPr>
              <w:t>Monitoring the building blocks of health systems: a handbook of indicators and their measurement strategies. Geneva: World Health Organization; 2010 (http://www.who.int/healthinfo/systems/WHO_MBHSS_2010_full_web.pdf?ua=1, accessed 29 March 2015).Framework of actions for the follow-up to the Programme of Action of the International Conference on Population and Development beyond 2014. Report of the Secretary-General. New York (NY): United Nations; 2014 (https://www.unfpa.org/webdav/site/global/shared/documents/ICPD/Framework%20of%20action%20for%20the%20follow-up%20to%20the%20PoA%20of%20the%20ICPD.pdf, accessed 19 August 2014).</w:t>
            </w:r>
          </w:p>
        </w:tc>
      </w:tr>
    </w:tbl>
    <w:p w:rsidR="004C6720" w:rsidRPr="004C6720" w:rsidRDefault="004C6720" w:rsidP="004C6720">
      <w:pPr>
        <w:spacing w:after="0"/>
      </w:pPr>
    </w:p>
    <w:p w:rsidR="00111071" w:rsidRPr="00277801" w:rsidRDefault="00111071" w:rsidP="0011107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c</w:t>
      </w:r>
      <w:r w:rsidRPr="00277801">
        <w:rPr>
          <w:color w:val="FFFFFF" w:themeColor="background1"/>
        </w:rPr>
        <w:t xml:space="preserve">: </w:t>
      </w:r>
      <w:r>
        <w:rPr>
          <w:color w:val="FFFFFF" w:themeColor="background1"/>
        </w:rPr>
        <w:tab/>
      </w:r>
      <w:r w:rsidRPr="00111071">
        <w:rPr>
          <w:color w:val="FFFFFF" w:themeColor="background1"/>
        </w:rPr>
        <w:t>Substantially increase health financing and the recruitment, development, training and retention of the health workforce in developing countries, especially least developed countries and small island developing states</w:t>
      </w:r>
    </w:p>
    <w:p w:rsidR="006A719A" w:rsidRDefault="00111071" w:rsidP="006A719A">
      <w:pPr>
        <w:pStyle w:val="Tablesub-heading"/>
      </w:pPr>
      <w:r>
        <w:t>Indicator 3.c.1:</w:t>
      </w:r>
      <w:r>
        <w:tab/>
      </w:r>
      <w:commentRangeStart w:id="25"/>
      <w:r w:rsidR="006A719A" w:rsidRPr="006A719A">
        <w:t>General government expenditure on health as % of GDP</w:t>
      </w:r>
      <w:commentRangeEnd w:id="25"/>
      <w:r>
        <w:rPr>
          <w:rStyle w:val="CommentReference"/>
          <w:rFonts w:ascii="Garamond" w:eastAsia="SimSun" w:hAnsi="Garamond" w:cs="Times New Roman"/>
          <w:b w:val="0"/>
          <w:bCs w:val="0"/>
          <w:noProof w:val="0"/>
          <w:color w:val="auto"/>
          <w:lang w:val="en-US"/>
        </w:rPr>
        <w:commentReference w:id="25"/>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111071" w:rsidRPr="00DE0966" w:rsidTr="004E3684">
        <w:trPr>
          <w:trHeight w:val="117"/>
        </w:trPr>
        <w:tc>
          <w:tcPr>
            <w:tcW w:w="2042" w:type="dxa"/>
            <w:tcBorders>
              <w:top w:val="single" w:sz="4" w:space="0" w:color="A3BBD5"/>
              <w:bottom w:val="nil"/>
            </w:tcBorders>
            <w:shd w:val="clear" w:color="000000" w:fill="E6F0FA"/>
            <w:hideMark/>
          </w:tcPr>
          <w:p w:rsidR="00111071" w:rsidRPr="00F9641A" w:rsidRDefault="00111071" w:rsidP="004E3684">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111071" w:rsidRPr="005E7236" w:rsidRDefault="00111071" w:rsidP="004E3684">
            <w:pPr>
              <w:pStyle w:val="IndicatorName"/>
              <w:framePr w:hSpace="0" w:wrap="auto" w:vAnchor="margin" w:hAnchor="text" w:yAlign="inline"/>
            </w:pPr>
            <w:bookmarkStart w:id="26" w:name="_Toc418774303"/>
            <w:r w:rsidRPr="006F0D82">
              <w:t>Current expenditure on health by general gov</w:t>
            </w:r>
            <w:r>
              <w:t>ernment and compulsory schemes (% of current expenditure on health)</w:t>
            </w:r>
            <w:bookmarkEnd w:id="26"/>
          </w:p>
        </w:tc>
      </w:tr>
      <w:tr w:rsidR="00111071" w:rsidRPr="00DE0966" w:rsidTr="004E3684">
        <w:trPr>
          <w:trHeight w:val="35"/>
        </w:trPr>
        <w:tc>
          <w:tcPr>
            <w:tcW w:w="2042" w:type="dxa"/>
            <w:tcBorders>
              <w:top w:val="nil"/>
              <w:bottom w:val="nil"/>
            </w:tcBorders>
            <w:shd w:val="clear" w:color="000000" w:fill="E6F0FA"/>
            <w:hideMark/>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Indicator name</w:t>
            </w:r>
          </w:p>
        </w:tc>
        <w:tc>
          <w:tcPr>
            <w:tcW w:w="7654" w:type="dxa"/>
            <w:shd w:val="clear" w:color="auto" w:fill="auto"/>
          </w:tcPr>
          <w:p w:rsidR="00111071" w:rsidRPr="005E7236" w:rsidRDefault="00111071" w:rsidP="004E3684">
            <w:pPr>
              <w:pStyle w:val="IndicatorText"/>
              <w:framePr w:hSpace="0" w:wrap="auto" w:vAnchor="margin" w:hAnchor="text" w:yAlign="inline"/>
            </w:pPr>
            <w:r w:rsidRPr="006F0D82">
              <w:t>Current expenditure on health by general gov</w:t>
            </w:r>
            <w:r>
              <w:t>ernment and compulsory schemes as a percentage of</w:t>
            </w:r>
            <w:r w:rsidRPr="006F0D82">
              <w:t xml:space="preserve"> </w:t>
            </w:r>
            <w:r>
              <w:t>current expenditure on health</w:t>
            </w:r>
          </w:p>
        </w:tc>
      </w:tr>
      <w:tr w:rsidR="00111071" w:rsidRPr="00DE0966" w:rsidTr="004E3684">
        <w:trPr>
          <w:trHeight w:val="23"/>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Domain</w:t>
            </w:r>
          </w:p>
        </w:tc>
        <w:tc>
          <w:tcPr>
            <w:tcW w:w="7654" w:type="dxa"/>
            <w:shd w:val="clear" w:color="auto" w:fill="auto"/>
          </w:tcPr>
          <w:p w:rsidR="00111071" w:rsidRDefault="00111071" w:rsidP="004E3684">
            <w:pPr>
              <w:pStyle w:val="IndicatorText"/>
              <w:framePr w:hSpace="0" w:wrap="auto" w:vAnchor="margin" w:hAnchor="text" w:yAlign="inline"/>
            </w:pPr>
            <w:r>
              <w:t>Health systems</w:t>
            </w:r>
          </w:p>
        </w:tc>
      </w:tr>
      <w:tr w:rsidR="00111071" w:rsidRPr="00DE0966" w:rsidTr="004E3684">
        <w:trPr>
          <w:trHeight w:val="23"/>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111071" w:rsidRDefault="00111071" w:rsidP="004E3684">
            <w:pPr>
              <w:pStyle w:val="IndicatorText"/>
              <w:framePr w:hSpace="0" w:wrap="auto" w:vAnchor="margin" w:hAnchor="text" w:yAlign="inline"/>
            </w:pPr>
            <w:r>
              <w:t>HSS</w:t>
            </w:r>
          </w:p>
        </w:tc>
      </w:tr>
      <w:tr w:rsidR="00111071" w:rsidRPr="00DE0966" w:rsidTr="004E3684">
        <w:trPr>
          <w:trHeight w:val="23"/>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Associated terms</w:t>
            </w:r>
          </w:p>
        </w:tc>
        <w:tc>
          <w:tcPr>
            <w:tcW w:w="7654" w:type="dxa"/>
            <w:shd w:val="clear" w:color="auto" w:fill="auto"/>
          </w:tcPr>
          <w:p w:rsidR="00111071" w:rsidRDefault="00111071" w:rsidP="004E3684">
            <w:pPr>
              <w:pStyle w:val="IndicatorText"/>
              <w:framePr w:hSpace="0" w:wrap="auto" w:vAnchor="margin" w:hAnchor="text" w:yAlign="inline"/>
            </w:pPr>
            <w:r>
              <w:t>Health financing</w:t>
            </w:r>
          </w:p>
        </w:tc>
      </w:tr>
      <w:tr w:rsidR="00111071" w:rsidRPr="00DE0966" w:rsidTr="004E3684">
        <w:trPr>
          <w:trHeight w:val="23"/>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Definition</w:t>
            </w:r>
          </w:p>
        </w:tc>
        <w:tc>
          <w:tcPr>
            <w:tcW w:w="7654" w:type="dxa"/>
            <w:shd w:val="clear" w:color="auto" w:fill="auto"/>
          </w:tcPr>
          <w:p w:rsidR="00111071" w:rsidRDefault="00111071" w:rsidP="004E3684">
            <w:pPr>
              <w:pStyle w:val="IndicatorText"/>
              <w:framePr w:hSpace="0" w:wrap="auto" w:vAnchor="margin" w:hAnchor="text" w:yAlign="inline"/>
            </w:pPr>
            <w:r>
              <w:t>Current expenditure on health by general government and compulsory schemes as a share of total current expenditure on health (expressed as a % of total current expenditure on health). This is the sum of current health outlays paid for in cash or supplied in kind by government entities such as the Ministry of Health, other ministries, parastatal organizations or social security agencies, or by entities running health schemes that are compulsory by law.</w:t>
            </w:r>
          </w:p>
        </w:tc>
      </w:tr>
      <w:tr w:rsidR="00111071" w:rsidRPr="00DE0966" w:rsidTr="004E3684">
        <w:trPr>
          <w:trHeight w:val="23"/>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Numerator</w:t>
            </w:r>
          </w:p>
        </w:tc>
        <w:tc>
          <w:tcPr>
            <w:tcW w:w="7654" w:type="dxa"/>
            <w:shd w:val="clear" w:color="auto" w:fill="auto"/>
          </w:tcPr>
          <w:p w:rsidR="00111071" w:rsidRDefault="00111071" w:rsidP="004E3684">
            <w:pPr>
              <w:pStyle w:val="IndicatorText"/>
              <w:framePr w:hSpace="0" w:wrap="auto" w:vAnchor="margin" w:hAnchor="text" w:yAlign="inline"/>
            </w:pPr>
            <w:r>
              <w:t>Sum of all current expenditure on health by the government sector and compulsory schemes by law (12-month period).</w:t>
            </w:r>
          </w:p>
        </w:tc>
      </w:tr>
      <w:tr w:rsidR="00111071" w:rsidRPr="00DE0966" w:rsidTr="004E3684">
        <w:trPr>
          <w:trHeight w:val="62"/>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Denominator</w:t>
            </w:r>
          </w:p>
        </w:tc>
        <w:tc>
          <w:tcPr>
            <w:tcW w:w="7654" w:type="dxa"/>
            <w:shd w:val="clear" w:color="auto" w:fill="auto"/>
          </w:tcPr>
          <w:p w:rsidR="00111071" w:rsidRDefault="00111071" w:rsidP="004E3684">
            <w:pPr>
              <w:pStyle w:val="IndicatorText"/>
              <w:framePr w:hSpace="0" w:wrap="auto" w:vAnchor="margin" w:hAnchor="text" w:yAlign="inline"/>
            </w:pPr>
            <w:r>
              <w:t>Total current expenditure on health.</w:t>
            </w:r>
          </w:p>
        </w:tc>
      </w:tr>
      <w:tr w:rsidR="00111071" w:rsidRPr="00DE0966" w:rsidTr="004E3684">
        <w:trPr>
          <w:trHeight w:val="268"/>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Disaggregation/</w:t>
            </w:r>
            <w:r w:rsidRPr="00F9641A">
              <w:rPr>
                <w:rFonts w:eastAsia="Times New Roman" w:cstheme="minorHAnsi"/>
                <w:color w:val="003366"/>
                <w:sz w:val="16"/>
                <w:szCs w:val="16"/>
              </w:rPr>
              <w:br/>
              <w:t>additional dimension</w:t>
            </w:r>
          </w:p>
        </w:tc>
        <w:tc>
          <w:tcPr>
            <w:tcW w:w="7654" w:type="dxa"/>
            <w:shd w:val="clear" w:color="auto" w:fill="auto"/>
          </w:tcPr>
          <w:p w:rsidR="00111071" w:rsidRDefault="00111071" w:rsidP="004E3684">
            <w:pPr>
              <w:pStyle w:val="IndicatorText"/>
              <w:framePr w:hSpace="0" w:wrap="auto" w:vAnchor="margin" w:hAnchor="text" w:yAlign="inline"/>
            </w:pPr>
            <w:r>
              <w:t>Financing source institutional unit, disease, main type of care, main type of provider, socioeconomic status,</w:t>
            </w:r>
            <w:r w:rsidDel="00C725F2">
              <w:t xml:space="preserve"> </w:t>
            </w:r>
            <w:r>
              <w:t>subnational level</w:t>
            </w:r>
          </w:p>
        </w:tc>
      </w:tr>
      <w:tr w:rsidR="00111071" w:rsidRPr="00DE0966" w:rsidTr="004E3684">
        <w:trPr>
          <w:trHeight w:val="122"/>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Method of measurement</w:t>
            </w:r>
          </w:p>
        </w:tc>
        <w:tc>
          <w:tcPr>
            <w:tcW w:w="7654" w:type="dxa"/>
            <w:shd w:val="clear" w:color="auto" w:fill="auto"/>
          </w:tcPr>
          <w:p w:rsidR="00111071" w:rsidRPr="00F9641A" w:rsidRDefault="00111071" w:rsidP="004E3684">
            <w:pPr>
              <w:pStyle w:val="IndicatorText"/>
              <w:framePr w:hSpace="0" w:wrap="auto" w:vAnchor="margin" w:hAnchor="text" w:yAlign="inline"/>
            </w:pPr>
            <w:r w:rsidRPr="00F9641A">
              <w:t xml:space="preserve">Includes any donor funding passing through government </w:t>
            </w:r>
            <w:r>
              <w:t xml:space="preserve">and compulsory </w:t>
            </w:r>
            <w:r w:rsidRPr="00F9641A">
              <w:t>entities</w:t>
            </w:r>
            <w:r>
              <w:t>.</w:t>
            </w:r>
          </w:p>
        </w:tc>
      </w:tr>
      <w:tr w:rsidR="00111071" w:rsidRPr="00DE0966" w:rsidTr="004E3684">
        <w:trPr>
          <w:trHeight w:val="160"/>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Method of estimation</w:t>
            </w:r>
          </w:p>
        </w:tc>
        <w:tc>
          <w:tcPr>
            <w:tcW w:w="7654" w:type="dxa"/>
            <w:shd w:val="clear" w:color="auto" w:fill="auto"/>
          </w:tcPr>
          <w:p w:rsidR="00111071" w:rsidRDefault="00111071" w:rsidP="004E3684">
            <w:pPr>
              <w:pStyle w:val="IndicatorText"/>
              <w:framePr w:hSpace="0" w:wrap="auto" w:vAnchor="margin" w:hAnchor="text" w:yAlign="inline"/>
            </w:pPr>
          </w:p>
        </w:tc>
      </w:tr>
      <w:tr w:rsidR="00111071" w:rsidRPr="00DE0966" w:rsidTr="004E3684">
        <w:trPr>
          <w:trHeight w:val="224"/>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Measurement frequency</w:t>
            </w:r>
          </w:p>
        </w:tc>
        <w:tc>
          <w:tcPr>
            <w:tcW w:w="7654" w:type="dxa"/>
            <w:shd w:val="clear" w:color="auto" w:fill="auto"/>
          </w:tcPr>
          <w:p w:rsidR="00111071" w:rsidRPr="005E7236" w:rsidRDefault="00111071" w:rsidP="004E3684">
            <w:pPr>
              <w:pStyle w:val="IndicatorText"/>
              <w:framePr w:hSpace="0" w:wrap="auto" w:vAnchor="margin" w:hAnchor="text" w:yAlign="inline"/>
            </w:pPr>
            <w:r>
              <w:t>Annual</w:t>
            </w:r>
          </w:p>
        </w:tc>
      </w:tr>
      <w:tr w:rsidR="00111071" w:rsidRPr="00DE0966" w:rsidTr="004E3684">
        <w:trPr>
          <w:trHeight w:val="159"/>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076D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F9641A">
              <w:rPr>
                <w:rFonts w:eastAsia="Times New Roman" w:cstheme="minorHAnsi"/>
                <w:color w:val="003366"/>
                <w:sz w:val="16"/>
                <w:szCs w:val="16"/>
              </w:rPr>
              <w:t>framework</w:t>
            </w:r>
          </w:p>
        </w:tc>
        <w:tc>
          <w:tcPr>
            <w:tcW w:w="7654" w:type="dxa"/>
            <w:shd w:val="clear" w:color="auto" w:fill="auto"/>
          </w:tcPr>
          <w:p w:rsidR="00111071" w:rsidRPr="005E7236" w:rsidRDefault="00111071" w:rsidP="004E3684">
            <w:pPr>
              <w:pStyle w:val="IndicatorText"/>
              <w:framePr w:hSpace="0" w:wrap="auto" w:vAnchor="margin" w:hAnchor="text" w:yAlign="inline"/>
            </w:pPr>
            <w:r w:rsidRPr="006F0D82">
              <w:t>Input</w:t>
            </w:r>
          </w:p>
        </w:tc>
      </w:tr>
      <w:tr w:rsidR="00111071" w:rsidRPr="00DE0966" w:rsidTr="004E3684">
        <w:trPr>
          <w:trHeight w:val="82"/>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Preferred data sources</w:t>
            </w:r>
          </w:p>
        </w:tc>
        <w:tc>
          <w:tcPr>
            <w:tcW w:w="7654" w:type="dxa"/>
            <w:shd w:val="clear" w:color="auto" w:fill="auto"/>
          </w:tcPr>
          <w:p w:rsidR="00111071" w:rsidRPr="005E7236" w:rsidRDefault="00111071" w:rsidP="004E3684">
            <w:pPr>
              <w:pStyle w:val="IndicatorText"/>
              <w:framePr w:hSpace="0" w:wrap="auto" w:vAnchor="margin" w:hAnchor="text" w:yAlign="inline"/>
            </w:pPr>
            <w:r>
              <w:t>Administrative reporting systems</w:t>
            </w:r>
          </w:p>
        </w:tc>
      </w:tr>
      <w:tr w:rsidR="00111071" w:rsidRPr="00DE0966" w:rsidTr="004E3684">
        <w:trPr>
          <w:trHeight w:val="160"/>
        </w:trPr>
        <w:tc>
          <w:tcPr>
            <w:tcW w:w="2042" w:type="dxa"/>
            <w:tcBorders>
              <w:top w:val="nil"/>
              <w:bottom w:val="nil"/>
            </w:tcBorders>
            <w:shd w:val="clear" w:color="000000" w:fill="E6F0FA"/>
          </w:tcPr>
          <w:p w:rsidR="00111071" w:rsidRPr="00F9641A" w:rsidRDefault="00111071" w:rsidP="004E3684">
            <w:pPr>
              <w:spacing w:before="80" w:after="80"/>
              <w:rPr>
                <w:rFonts w:eastAsia="Times New Roman" w:cstheme="minorHAnsi"/>
                <w:color w:val="003366"/>
                <w:sz w:val="16"/>
                <w:szCs w:val="16"/>
              </w:rPr>
            </w:pPr>
            <w:r w:rsidRPr="00F9641A">
              <w:rPr>
                <w:rFonts w:eastAsia="Times New Roman" w:cstheme="minorHAnsi"/>
                <w:color w:val="003366"/>
                <w:sz w:val="16"/>
                <w:szCs w:val="16"/>
              </w:rPr>
              <w:t>Other possible data sources</w:t>
            </w:r>
          </w:p>
        </w:tc>
        <w:tc>
          <w:tcPr>
            <w:tcW w:w="7654" w:type="dxa"/>
            <w:shd w:val="clear" w:color="auto" w:fill="auto"/>
          </w:tcPr>
          <w:p w:rsidR="00111071" w:rsidRPr="005E7236" w:rsidRDefault="00111071" w:rsidP="004E3684">
            <w:pPr>
              <w:pStyle w:val="IndicatorText"/>
              <w:framePr w:hSpace="0" w:wrap="auto" w:vAnchor="margin" w:hAnchor="text" w:yAlign="inline"/>
            </w:pPr>
            <w:r>
              <w:t>Other sources, including estimation and modelling</w:t>
            </w:r>
          </w:p>
        </w:tc>
      </w:tr>
      <w:tr w:rsidR="00111071" w:rsidRPr="00DE0966" w:rsidTr="004E3684">
        <w:trPr>
          <w:trHeight w:val="160"/>
        </w:trPr>
        <w:tc>
          <w:tcPr>
            <w:tcW w:w="2042" w:type="dxa"/>
            <w:tcBorders>
              <w:top w:val="nil"/>
              <w:bottom w:val="single" w:sz="4" w:space="0" w:color="A3BBD5"/>
            </w:tcBorders>
            <w:shd w:val="clear" w:color="000000" w:fill="E6F0FA"/>
          </w:tcPr>
          <w:p w:rsidR="00111071" w:rsidRPr="00F9641A" w:rsidRDefault="00111071" w:rsidP="004E3684">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111071" w:rsidRDefault="00111071" w:rsidP="004E3684">
            <w:pPr>
              <w:pStyle w:val="IndicatorText"/>
              <w:framePr w:hSpace="0" w:wrap="auto" w:vAnchor="margin" w:hAnchor="text" w:yAlign="inline"/>
              <w:rPr>
                <w:lang w:val="en-US"/>
              </w:rPr>
            </w:pPr>
            <w:r w:rsidRPr="003E036D">
              <w:rPr>
                <w:lang w:val="en-US"/>
              </w:rPr>
              <w:t xml:space="preserve">A system of health accounts </w:t>
            </w:r>
            <w:r w:rsidRPr="003E036D">
              <w:rPr>
                <w:lang w:val="en-US"/>
              </w:rPr>
              <w:sym w:font="Symbol" w:char="F02D"/>
            </w:r>
            <w:r w:rsidRPr="003E036D">
              <w:rPr>
                <w:lang w:val="en-US"/>
              </w:rPr>
              <w:t xml:space="preserve"> 2011 </w:t>
            </w:r>
            <w:r>
              <w:rPr>
                <w:lang w:val="en-US"/>
              </w:rPr>
              <w:t>e</w:t>
            </w:r>
            <w:r w:rsidRPr="003E036D">
              <w:rPr>
                <w:lang w:val="en-US"/>
              </w:rPr>
              <w:t>dition. Geneva: Organisation for Economic Co-operation and Development/Eurostat/World Health Organization; 2011 (</w:t>
            </w:r>
            <w:r w:rsidRPr="00ED67B2">
              <w:rPr>
                <w:lang w:val="en-US"/>
              </w:rPr>
              <w:t>http://who.int/health-accounts/methodology/sha2011.pdf?ua=1</w:t>
            </w:r>
            <w:r w:rsidRPr="003E036D">
              <w:rPr>
                <w:lang w:val="en-US"/>
              </w:rPr>
              <w:t>, accessed 29 March 2015).</w:t>
            </w:r>
          </w:p>
          <w:p w:rsidR="00111071" w:rsidRDefault="00111071" w:rsidP="004E3684">
            <w:pPr>
              <w:pStyle w:val="IndicatorText"/>
              <w:framePr w:hSpace="0" w:wrap="auto" w:vAnchor="margin" w:hAnchor="text" w:yAlign="inline"/>
            </w:pPr>
            <w:r w:rsidRPr="00E71A95">
              <w:rPr>
                <w:lang w:val="en-US"/>
              </w:rPr>
              <w:t>Framework of actions for the follow-up to the Programme of Action of the International Conference on Population and Development beyond 2014. Report of the Secretary-General. New York (NY): United Nations;</w:t>
            </w:r>
            <w:r>
              <w:rPr>
                <w:lang w:val="en-US"/>
              </w:rPr>
              <w:t xml:space="preserve"> </w:t>
            </w:r>
            <w:r w:rsidRPr="00E71A95">
              <w:rPr>
                <w:lang w:val="en-US"/>
              </w:rPr>
              <w:t>2014 (</w:t>
            </w:r>
            <w:r w:rsidRPr="0056160E">
              <w:rPr>
                <w:lang w:val="en-US"/>
              </w:rPr>
              <w:t>https://www.unfpa.org/webdav/site/global/shared/documents/ICPD/Framework%20of%20action%20for%20the%20follow-up%20to%20the%20PoA%20of%20the%20ICPD.pdf</w:t>
            </w:r>
            <w:r w:rsidRPr="00E71A95">
              <w:rPr>
                <w:lang w:val="en-US"/>
              </w:rPr>
              <w:t>, accessed 19 August 2014).</w:t>
            </w:r>
            <w:r w:rsidRPr="009F3AE5">
              <w:t xml:space="preserve"> </w:t>
            </w:r>
          </w:p>
        </w:tc>
      </w:tr>
    </w:tbl>
    <w:p w:rsidR="00111071" w:rsidRDefault="00111071"/>
    <w:p w:rsidR="006A719A" w:rsidRDefault="006A719A">
      <w:r>
        <w:br w:type="page"/>
      </w:r>
    </w:p>
    <w:p w:rsidR="00111071" w:rsidRPr="00277801" w:rsidRDefault="00111071" w:rsidP="0011107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c</w:t>
      </w:r>
      <w:r w:rsidRPr="00277801">
        <w:rPr>
          <w:color w:val="FFFFFF" w:themeColor="background1"/>
        </w:rPr>
        <w:t xml:space="preserve">: </w:t>
      </w:r>
      <w:r>
        <w:rPr>
          <w:color w:val="FFFFFF" w:themeColor="background1"/>
        </w:rPr>
        <w:tab/>
      </w:r>
      <w:r w:rsidRPr="00111071">
        <w:rPr>
          <w:color w:val="FFFFFF" w:themeColor="background1"/>
        </w:rPr>
        <w:t>Substantially increase health financing and the recruitment, development, training and retention of the health workforce in developing countries, especially least developed countries and small island developing states</w:t>
      </w:r>
    </w:p>
    <w:p w:rsidR="006A719A" w:rsidRDefault="00111071" w:rsidP="006A719A">
      <w:pPr>
        <w:pStyle w:val="Tablesub-heading"/>
      </w:pPr>
      <w:r>
        <w:t>Indicator 3.c.2:</w:t>
      </w:r>
      <w:r>
        <w:tab/>
      </w:r>
      <w:r w:rsidR="006A719A">
        <w:t>Health worker density and distribution</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6A719A" w:rsidRPr="00DE0966" w:rsidTr="002919FB">
        <w:trPr>
          <w:trHeight w:val="117"/>
        </w:trPr>
        <w:tc>
          <w:tcPr>
            <w:tcW w:w="2042" w:type="dxa"/>
            <w:tcBorders>
              <w:top w:val="single" w:sz="4" w:space="0" w:color="A3BBD5"/>
              <w:bottom w:val="nil"/>
            </w:tcBorders>
            <w:shd w:val="clear" w:color="000000" w:fill="E6F0FA"/>
            <w:hideMark/>
          </w:tcPr>
          <w:p w:rsidR="006A719A" w:rsidRPr="00886A7B"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6A719A" w:rsidRPr="005E7236" w:rsidRDefault="006A719A" w:rsidP="002919FB">
            <w:pPr>
              <w:pStyle w:val="IndicatorName"/>
              <w:framePr w:hSpace="0" w:wrap="auto" w:vAnchor="margin" w:hAnchor="text" w:yAlign="inline"/>
            </w:pPr>
            <w:r>
              <w:rPr>
                <w:rFonts w:asciiTheme="minorHAnsi" w:eastAsiaTheme="minorEastAsia" w:hAnsiTheme="minorHAnsi" w:cstheme="minorBidi"/>
                <w:color w:val="auto"/>
                <w:sz w:val="22"/>
                <w:lang w:eastAsia="zh-CN"/>
              </w:rPr>
              <w:br w:type="page"/>
            </w:r>
            <w:bookmarkStart w:id="27" w:name="_Toc418774297"/>
            <w:r w:rsidRPr="00870BD3">
              <w:t xml:space="preserve">Health worker </w:t>
            </w:r>
            <w:r>
              <w:t>density and distribution</w:t>
            </w:r>
            <w:bookmarkEnd w:id="27"/>
          </w:p>
        </w:tc>
      </w:tr>
      <w:tr w:rsidR="006A719A" w:rsidRPr="00DE0966" w:rsidTr="002919FB">
        <w:trPr>
          <w:trHeight w:val="35"/>
        </w:trPr>
        <w:tc>
          <w:tcPr>
            <w:tcW w:w="2042" w:type="dxa"/>
            <w:tcBorders>
              <w:top w:val="nil"/>
              <w:bottom w:val="nil"/>
            </w:tcBorders>
            <w:shd w:val="clear" w:color="000000" w:fill="E6F0FA"/>
            <w:hideMark/>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Indicator name</w:t>
            </w:r>
          </w:p>
        </w:tc>
        <w:tc>
          <w:tcPr>
            <w:tcW w:w="7654" w:type="dxa"/>
            <w:shd w:val="clear" w:color="auto" w:fill="auto"/>
          </w:tcPr>
          <w:p w:rsidR="006A719A" w:rsidRPr="005E7236" w:rsidRDefault="006A719A" w:rsidP="002919FB">
            <w:pPr>
              <w:pStyle w:val="IndicatorText"/>
              <w:framePr w:hSpace="0" w:wrap="auto" w:vAnchor="margin" w:hAnchor="text" w:yAlign="inline"/>
            </w:pPr>
            <w:r w:rsidRPr="00870BD3">
              <w:t xml:space="preserve">Health worker </w:t>
            </w:r>
            <w:r>
              <w:t>density and distribution (per 1000 population)</w:t>
            </w:r>
          </w:p>
        </w:tc>
      </w:tr>
      <w:tr w:rsidR="006A719A" w:rsidRPr="00DE0966" w:rsidTr="002919FB">
        <w:trPr>
          <w:trHeight w:val="23"/>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Domain</w:t>
            </w:r>
          </w:p>
        </w:tc>
        <w:tc>
          <w:tcPr>
            <w:tcW w:w="7654" w:type="dxa"/>
            <w:shd w:val="clear" w:color="auto" w:fill="auto"/>
          </w:tcPr>
          <w:p w:rsidR="006A719A" w:rsidRDefault="006A719A" w:rsidP="002919FB">
            <w:pPr>
              <w:pStyle w:val="IndicatorText"/>
              <w:framePr w:hSpace="0" w:wrap="auto" w:vAnchor="margin" w:hAnchor="text" w:yAlign="inline"/>
            </w:pPr>
            <w:r>
              <w:t xml:space="preserve">Health systems </w:t>
            </w:r>
          </w:p>
        </w:tc>
      </w:tr>
      <w:tr w:rsidR="006A719A" w:rsidRPr="00DE0966" w:rsidTr="002919FB">
        <w:trPr>
          <w:trHeight w:val="23"/>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6A719A" w:rsidRDefault="006A719A" w:rsidP="002919FB">
            <w:pPr>
              <w:pStyle w:val="IndicatorText"/>
              <w:framePr w:hSpace="0" w:wrap="auto" w:vAnchor="margin" w:hAnchor="text" w:yAlign="inline"/>
            </w:pPr>
            <w:r>
              <w:t>HSS</w:t>
            </w:r>
          </w:p>
        </w:tc>
      </w:tr>
      <w:tr w:rsidR="006A719A" w:rsidRPr="00DE0966" w:rsidTr="002919FB">
        <w:trPr>
          <w:trHeight w:val="23"/>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Associated terms</w:t>
            </w:r>
          </w:p>
        </w:tc>
        <w:tc>
          <w:tcPr>
            <w:tcW w:w="7654" w:type="dxa"/>
            <w:shd w:val="clear" w:color="auto" w:fill="auto"/>
          </w:tcPr>
          <w:p w:rsidR="006A719A" w:rsidRDefault="006A719A" w:rsidP="002919FB">
            <w:pPr>
              <w:pStyle w:val="IndicatorText"/>
              <w:framePr w:hSpace="0" w:wrap="auto" w:vAnchor="margin" w:hAnchor="text" w:yAlign="inline"/>
            </w:pPr>
            <w:r>
              <w:t>Health workforce</w:t>
            </w:r>
          </w:p>
        </w:tc>
      </w:tr>
      <w:tr w:rsidR="006A719A" w:rsidRPr="00DE0966" w:rsidTr="002919FB">
        <w:trPr>
          <w:trHeight w:val="23"/>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Definition</w:t>
            </w:r>
          </w:p>
        </w:tc>
        <w:tc>
          <w:tcPr>
            <w:tcW w:w="7654" w:type="dxa"/>
            <w:shd w:val="clear" w:color="auto" w:fill="auto"/>
          </w:tcPr>
          <w:p w:rsidR="006A719A" w:rsidRDefault="006A719A" w:rsidP="002919FB">
            <w:pPr>
              <w:pStyle w:val="IndicatorText"/>
              <w:framePr w:hSpace="0" w:wrap="auto" w:vAnchor="margin" w:hAnchor="text" w:yAlign="inline"/>
            </w:pPr>
            <w:r>
              <w:t xml:space="preserve">Number of health workers per 1000 population. </w:t>
            </w:r>
          </w:p>
        </w:tc>
      </w:tr>
      <w:tr w:rsidR="006A719A" w:rsidRPr="00DE0966" w:rsidTr="002919FB">
        <w:trPr>
          <w:trHeight w:val="23"/>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Numerator</w:t>
            </w:r>
          </w:p>
        </w:tc>
        <w:tc>
          <w:tcPr>
            <w:tcW w:w="7654" w:type="dxa"/>
            <w:shd w:val="clear" w:color="auto" w:fill="auto"/>
          </w:tcPr>
          <w:p w:rsidR="006A719A" w:rsidRDefault="006A719A" w:rsidP="002919FB">
            <w:pPr>
              <w:pStyle w:val="IndicatorText"/>
              <w:framePr w:hSpace="0" w:wrap="auto" w:vAnchor="margin" w:hAnchor="text" w:yAlign="inline"/>
            </w:pPr>
            <w:r>
              <w:t>Number of health workers by cadre.</w:t>
            </w:r>
          </w:p>
        </w:tc>
      </w:tr>
      <w:tr w:rsidR="006A719A" w:rsidRPr="00DE0966" w:rsidTr="002919FB">
        <w:trPr>
          <w:trHeight w:val="62"/>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Denominator</w:t>
            </w:r>
          </w:p>
        </w:tc>
        <w:tc>
          <w:tcPr>
            <w:tcW w:w="7654" w:type="dxa"/>
            <w:shd w:val="clear" w:color="auto" w:fill="auto"/>
          </w:tcPr>
          <w:p w:rsidR="006A719A" w:rsidRDefault="006A719A" w:rsidP="002919FB">
            <w:pPr>
              <w:pStyle w:val="IndicatorText"/>
              <w:framePr w:hSpace="0" w:wrap="auto" w:vAnchor="margin" w:hAnchor="text" w:yAlign="inline"/>
            </w:pPr>
            <w:r>
              <w:t>Total population.</w:t>
            </w:r>
          </w:p>
        </w:tc>
      </w:tr>
      <w:tr w:rsidR="006A719A" w:rsidRPr="00DE0966" w:rsidTr="002919FB">
        <w:trPr>
          <w:trHeight w:val="268"/>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Disaggregation/</w:t>
            </w:r>
            <w:r w:rsidRPr="00886A7B">
              <w:rPr>
                <w:rFonts w:eastAsia="Times New Roman" w:cstheme="minorHAnsi"/>
                <w:color w:val="003366"/>
                <w:sz w:val="16"/>
                <w:szCs w:val="16"/>
              </w:rPr>
              <w:br/>
              <w:t>additional dimension</w:t>
            </w:r>
          </w:p>
        </w:tc>
        <w:tc>
          <w:tcPr>
            <w:tcW w:w="7654" w:type="dxa"/>
            <w:shd w:val="clear" w:color="auto" w:fill="auto"/>
          </w:tcPr>
          <w:p w:rsidR="006A719A" w:rsidRDefault="006A719A" w:rsidP="002919FB">
            <w:pPr>
              <w:pStyle w:val="IndicatorText"/>
              <w:framePr w:hSpace="0" w:wrap="auto" w:vAnchor="margin" w:hAnchor="text" w:yAlign="inline"/>
            </w:pPr>
            <w:r>
              <w:t>By cadre, including generalist medical practitioners, specialist medical practitioners (surgeons, anaesthetists, obstetricians, emergency medicine specialists, cardiologists, paediatricians, psychiatrists, ophthalmologists, gynaecologists, etc.), nursing and midwifery professionals, traditional and complementary medicine professionals, among others.</w:t>
            </w:r>
          </w:p>
          <w:p w:rsidR="006A719A" w:rsidRDefault="006A719A" w:rsidP="002919FB">
            <w:pPr>
              <w:pStyle w:val="IndicatorText"/>
              <w:framePr w:hSpace="0" w:wrap="auto" w:vAnchor="margin" w:hAnchor="text" w:yAlign="inline"/>
            </w:pPr>
            <w:r>
              <w:t>Distribution: place of employment (urban/rural), subnational (district)</w:t>
            </w:r>
          </w:p>
        </w:tc>
      </w:tr>
      <w:tr w:rsidR="006A719A" w:rsidRPr="00DE0966" w:rsidTr="002919FB">
        <w:trPr>
          <w:trHeight w:val="122"/>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Method of measurement</w:t>
            </w:r>
          </w:p>
        </w:tc>
        <w:tc>
          <w:tcPr>
            <w:tcW w:w="7654" w:type="dxa"/>
            <w:shd w:val="clear" w:color="auto" w:fill="auto"/>
          </w:tcPr>
          <w:p w:rsidR="006A719A" w:rsidRDefault="006A719A" w:rsidP="002919FB">
            <w:pPr>
              <w:pStyle w:val="IndicatorText"/>
              <w:framePr w:hSpace="0" w:wrap="auto" w:vAnchor="margin" w:hAnchor="text" w:yAlign="inline"/>
            </w:pPr>
            <w:r>
              <w:t>National database or registry of health workers, preferably at individual level.</w:t>
            </w:r>
          </w:p>
        </w:tc>
      </w:tr>
      <w:tr w:rsidR="006A719A" w:rsidRPr="00DE0966" w:rsidTr="002919FB">
        <w:trPr>
          <w:trHeight w:val="160"/>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Method of estimation</w:t>
            </w:r>
          </w:p>
        </w:tc>
        <w:tc>
          <w:tcPr>
            <w:tcW w:w="7654" w:type="dxa"/>
            <w:shd w:val="clear" w:color="auto" w:fill="auto"/>
          </w:tcPr>
          <w:p w:rsidR="006A719A" w:rsidRDefault="006A719A" w:rsidP="002919FB">
            <w:pPr>
              <w:pStyle w:val="IndicatorText"/>
              <w:framePr w:hSpace="0" w:wrap="auto" w:vAnchor="margin" w:hAnchor="text" w:yAlign="inline"/>
            </w:pPr>
            <w:r>
              <w:t>If there is a national database or registry, there should be regular assessment of completeness using census data, professional association registers, facility censuses, etc.</w:t>
            </w:r>
          </w:p>
          <w:p w:rsidR="006A719A" w:rsidRDefault="006A719A" w:rsidP="002919FB">
            <w:pPr>
              <w:pStyle w:val="IndicatorText"/>
              <w:framePr w:hSpace="0" w:wrap="auto" w:vAnchor="margin" w:hAnchor="text" w:yAlign="inline"/>
            </w:pPr>
            <w:r>
              <w:t>Health worker concentration: percentage of all health workers working in urban areas divided by percentage of total population in urban areas.</w:t>
            </w:r>
          </w:p>
        </w:tc>
      </w:tr>
      <w:tr w:rsidR="006A719A" w:rsidRPr="00DE0966" w:rsidTr="002919FB">
        <w:trPr>
          <w:trHeight w:val="224"/>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Measurement frequency</w:t>
            </w:r>
          </w:p>
        </w:tc>
        <w:tc>
          <w:tcPr>
            <w:tcW w:w="7654" w:type="dxa"/>
            <w:shd w:val="clear" w:color="auto" w:fill="auto"/>
          </w:tcPr>
          <w:p w:rsidR="006A719A" w:rsidRPr="005E7236" w:rsidRDefault="006A719A" w:rsidP="002919FB">
            <w:pPr>
              <w:pStyle w:val="IndicatorText"/>
              <w:framePr w:hSpace="0" w:wrap="auto" w:vAnchor="margin" w:hAnchor="text" w:yAlign="inline"/>
            </w:pPr>
            <w:r>
              <w:t>Annual</w:t>
            </w:r>
          </w:p>
        </w:tc>
      </w:tr>
      <w:tr w:rsidR="006A719A" w:rsidRPr="00DE0966" w:rsidTr="002919FB">
        <w:trPr>
          <w:trHeight w:val="159"/>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3634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886A7B">
              <w:rPr>
                <w:rFonts w:eastAsia="Times New Roman" w:cstheme="minorHAnsi"/>
                <w:color w:val="003366"/>
                <w:sz w:val="16"/>
                <w:szCs w:val="16"/>
              </w:rPr>
              <w:t>framework</w:t>
            </w:r>
          </w:p>
        </w:tc>
        <w:tc>
          <w:tcPr>
            <w:tcW w:w="7654" w:type="dxa"/>
            <w:shd w:val="clear" w:color="auto" w:fill="auto"/>
          </w:tcPr>
          <w:p w:rsidR="006A719A" w:rsidRPr="005E7236" w:rsidRDefault="006A719A" w:rsidP="002919FB">
            <w:pPr>
              <w:pStyle w:val="IndicatorText"/>
              <w:framePr w:hSpace="0" w:wrap="auto" w:vAnchor="margin" w:hAnchor="text" w:yAlign="inline"/>
            </w:pPr>
            <w:r w:rsidRPr="00870BD3">
              <w:t>Input</w:t>
            </w:r>
          </w:p>
        </w:tc>
      </w:tr>
      <w:tr w:rsidR="006A719A" w:rsidRPr="00DE0966" w:rsidTr="002919FB">
        <w:trPr>
          <w:trHeight w:val="82"/>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Preferred data sources</w:t>
            </w:r>
          </w:p>
        </w:tc>
        <w:tc>
          <w:tcPr>
            <w:tcW w:w="7654" w:type="dxa"/>
            <w:shd w:val="clear" w:color="auto" w:fill="auto"/>
          </w:tcPr>
          <w:p w:rsidR="006A719A" w:rsidRPr="005E7236" w:rsidRDefault="006A719A" w:rsidP="002919FB">
            <w:pPr>
              <w:pStyle w:val="IndicatorText"/>
              <w:framePr w:hSpace="0" w:wrap="auto" w:vAnchor="margin" w:hAnchor="text" w:yAlign="inline"/>
            </w:pPr>
            <w:r>
              <w:t>Health worker registry</w:t>
            </w:r>
          </w:p>
        </w:tc>
      </w:tr>
      <w:tr w:rsidR="006A719A" w:rsidRPr="00DE0966" w:rsidTr="002919FB">
        <w:trPr>
          <w:trHeight w:val="160"/>
        </w:trPr>
        <w:tc>
          <w:tcPr>
            <w:tcW w:w="2042" w:type="dxa"/>
            <w:tcBorders>
              <w:top w:val="nil"/>
              <w:bottom w:val="nil"/>
            </w:tcBorders>
            <w:shd w:val="clear" w:color="000000" w:fill="E6F0FA"/>
          </w:tcPr>
          <w:p w:rsidR="006A719A" w:rsidRPr="00886A7B" w:rsidRDefault="006A719A" w:rsidP="002919FB">
            <w:pPr>
              <w:spacing w:before="80" w:after="80"/>
              <w:rPr>
                <w:rFonts w:eastAsia="Times New Roman" w:cstheme="minorHAnsi"/>
                <w:color w:val="003366"/>
                <w:sz w:val="16"/>
                <w:szCs w:val="16"/>
              </w:rPr>
            </w:pPr>
            <w:r w:rsidRPr="00886A7B">
              <w:rPr>
                <w:rFonts w:eastAsia="Times New Roman" w:cstheme="minorHAnsi"/>
                <w:color w:val="003366"/>
                <w:sz w:val="16"/>
                <w:szCs w:val="16"/>
              </w:rPr>
              <w:t>Other possible data sources</w:t>
            </w:r>
          </w:p>
        </w:tc>
        <w:tc>
          <w:tcPr>
            <w:tcW w:w="7654" w:type="dxa"/>
            <w:shd w:val="clear" w:color="auto" w:fill="auto"/>
          </w:tcPr>
          <w:p w:rsidR="006A719A" w:rsidRPr="005E7236" w:rsidRDefault="006A719A" w:rsidP="002919FB">
            <w:pPr>
              <w:pStyle w:val="IndicatorText"/>
              <w:framePr w:hSpace="0" w:wrap="auto" w:vAnchor="margin" w:hAnchor="text" w:yAlign="inline"/>
            </w:pPr>
            <w:r>
              <w:t>National health workforce database (aggregate)</w:t>
            </w:r>
          </w:p>
        </w:tc>
      </w:tr>
      <w:tr w:rsidR="006A719A" w:rsidRPr="00DE0966" w:rsidTr="002919FB">
        <w:trPr>
          <w:trHeight w:val="160"/>
        </w:trPr>
        <w:tc>
          <w:tcPr>
            <w:tcW w:w="2042" w:type="dxa"/>
            <w:tcBorders>
              <w:top w:val="nil"/>
              <w:bottom w:val="single" w:sz="4" w:space="0" w:color="A3BBD5"/>
            </w:tcBorders>
            <w:shd w:val="clear" w:color="000000" w:fill="E6F0FA"/>
          </w:tcPr>
          <w:p w:rsidR="006A719A" w:rsidRPr="00886A7B"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6A719A" w:rsidRDefault="006A719A" w:rsidP="002919FB">
            <w:pPr>
              <w:pStyle w:val="IndicatorText"/>
              <w:framePr w:hSpace="0" w:wrap="auto" w:vAnchor="margin" w:hAnchor="text" w:yAlign="inline"/>
            </w:pPr>
            <w:r w:rsidRPr="00E71A95">
              <w:rPr>
                <w:lang w:val="en-US"/>
              </w:rPr>
              <w:t>Framework of actions for the follow-up to the Programme of Action of the International Conference on Population and Development beyond 2014. Report of the Secretary-General. New York (NY): United Nations;</w:t>
            </w:r>
            <w:r>
              <w:rPr>
                <w:lang w:val="en-US"/>
              </w:rPr>
              <w:t xml:space="preserve"> </w:t>
            </w:r>
            <w:r w:rsidRPr="00E71A95">
              <w:rPr>
                <w:lang w:val="en-US"/>
              </w:rPr>
              <w:t>2014 (</w:t>
            </w:r>
            <w:r w:rsidRPr="0056160E">
              <w:rPr>
                <w:lang w:val="en-US"/>
              </w:rPr>
              <w:t>https://www.unfpa.org/webdav/site/global/shared/documents/ICPD/Framework%20of%20action%20for%20the%20follow-up%20to%20the%20PoA%20of%20the%20ICPD.pdf</w:t>
            </w:r>
            <w:r w:rsidRPr="00E71A95">
              <w:rPr>
                <w:lang w:val="en-US"/>
              </w:rPr>
              <w:t>, accessed 19 August 2014).</w:t>
            </w:r>
            <w:r w:rsidRPr="001511F6">
              <w:t xml:space="preserve"> </w:t>
            </w:r>
          </w:p>
          <w:p w:rsidR="006A719A" w:rsidRDefault="006A719A" w:rsidP="002919FB">
            <w:pPr>
              <w:pStyle w:val="IndicatorText"/>
              <w:framePr w:hSpace="0" w:wrap="auto" w:vAnchor="margin" w:hAnchor="text" w:yAlign="inline"/>
            </w:pPr>
            <w:r w:rsidRPr="00B66A48">
              <w:rPr>
                <w:lang w:val="en-US"/>
              </w:rPr>
              <w:t>Handbook on monitoring and evaluation of human resources for health with special focus on low- and middle-income countries. Geneva: World Health Organization; 2009.</w:t>
            </w:r>
          </w:p>
          <w:p w:rsidR="006A719A" w:rsidRDefault="006A719A" w:rsidP="002919FB">
            <w:pPr>
              <w:pStyle w:val="IndicatorText"/>
              <w:framePr w:hSpace="0" w:wrap="auto" w:vAnchor="margin" w:hAnchor="text" w:yAlign="inline"/>
            </w:pPr>
            <w:r w:rsidRPr="00CC13F5">
              <w:rPr>
                <w:lang w:val="en-US"/>
              </w:rPr>
              <w:t>Monitoring the building blocks of health systems: a handbook of indicators and their measurement strategies. Geneva: World Health Organization; 2010 (</w:t>
            </w:r>
            <w:r w:rsidRPr="0056160E">
              <w:rPr>
                <w:lang w:val="en-US"/>
              </w:rPr>
              <w:t>http://www.who.int/healthinfo/systems/WHO_MBHSS_2010_full_web.pdf?ua=1</w:t>
            </w:r>
            <w:r w:rsidRPr="00CC13F5">
              <w:rPr>
                <w:lang w:val="en-US"/>
              </w:rPr>
              <w:t>, accessed 29 March 2015).</w:t>
            </w:r>
          </w:p>
          <w:p w:rsidR="006A719A" w:rsidRDefault="006A719A" w:rsidP="002919FB">
            <w:pPr>
              <w:pStyle w:val="IndicatorText"/>
              <w:framePr w:hSpace="0" w:wrap="auto" w:vAnchor="margin" w:hAnchor="text" w:yAlign="inline"/>
            </w:pPr>
            <w:r w:rsidRPr="00BD2A35">
              <w:rPr>
                <w:lang w:val="en-US"/>
              </w:rPr>
              <w:t>World health statistics 2014. Geneva: World Health Organization; 2014 (</w:t>
            </w:r>
            <w:r w:rsidRPr="0056160E">
              <w:rPr>
                <w:lang w:val="en-US"/>
              </w:rPr>
              <w:t>http://apps.who.int/iris/bitstream/10665/112738/1/9789240692671_eng.pdf?ua=1</w:t>
            </w:r>
            <w:r w:rsidRPr="00BD2A35">
              <w:rPr>
                <w:lang w:val="en-US"/>
              </w:rPr>
              <w:t>, accessed 29 March 2015).</w:t>
            </w:r>
          </w:p>
        </w:tc>
      </w:tr>
    </w:tbl>
    <w:p w:rsidR="006A719A" w:rsidRDefault="006A719A" w:rsidP="006A719A"/>
    <w:p w:rsidR="006A719A" w:rsidRDefault="006A719A" w:rsidP="006A719A">
      <w:r>
        <w:br w:type="page"/>
      </w:r>
    </w:p>
    <w:p w:rsidR="00111071" w:rsidRPr="00277801" w:rsidRDefault="00111071" w:rsidP="00111071">
      <w:pPr>
        <w:pStyle w:val="Tablesub-heading"/>
        <w:shd w:val="clear" w:color="auto" w:fill="365F91" w:themeFill="accent1" w:themeFillShade="BF"/>
        <w:spacing w:after="0"/>
        <w:ind w:left="1440" w:hanging="1440"/>
        <w:rPr>
          <w:color w:val="FFFFFF" w:themeColor="background1"/>
        </w:rPr>
      </w:pPr>
      <w:r w:rsidRPr="00277801">
        <w:rPr>
          <w:color w:val="FFFFFF" w:themeColor="background1"/>
        </w:rPr>
        <w:t>Target 3.</w:t>
      </w:r>
      <w:r>
        <w:rPr>
          <w:color w:val="FFFFFF" w:themeColor="background1"/>
        </w:rPr>
        <w:t>d</w:t>
      </w:r>
      <w:r w:rsidRPr="00277801">
        <w:rPr>
          <w:color w:val="FFFFFF" w:themeColor="background1"/>
        </w:rPr>
        <w:t xml:space="preserve">: </w:t>
      </w:r>
      <w:r>
        <w:rPr>
          <w:color w:val="FFFFFF" w:themeColor="background1"/>
        </w:rPr>
        <w:tab/>
      </w:r>
      <w:r w:rsidRPr="00111071">
        <w:rPr>
          <w:color w:val="FFFFFF" w:themeColor="background1"/>
        </w:rPr>
        <w:t>Strengthen the capacity of all countries, in particular developing countries, for early warning, risk reduction and management of n</w:t>
      </w:r>
      <w:r>
        <w:rPr>
          <w:color w:val="FFFFFF" w:themeColor="background1"/>
        </w:rPr>
        <w:t>ational and global health risks</w:t>
      </w:r>
    </w:p>
    <w:p w:rsidR="006A719A" w:rsidRDefault="00111071" w:rsidP="006A719A">
      <w:pPr>
        <w:pStyle w:val="Tablesub-heading"/>
      </w:pPr>
      <w:r>
        <w:t>Indicator 3.d.1:</w:t>
      </w:r>
      <w:r>
        <w:tab/>
      </w:r>
      <w:r w:rsidR="006A719A" w:rsidRPr="006A719A">
        <w:t>Presence of 13 IHR core capacities for surveillance and response</w:t>
      </w:r>
    </w:p>
    <w:tbl>
      <w:tblPr>
        <w:tblpPr w:leftFromText="180" w:rightFromText="180" w:vertAnchor="text" w:horzAnchor="margin" w:tblpY="86"/>
        <w:tblW w:w="9696" w:type="dxa"/>
        <w:tblBorders>
          <w:top w:val="single" w:sz="4" w:space="0" w:color="A3BBD5"/>
          <w:left w:val="single" w:sz="4" w:space="0" w:color="A3BBD5"/>
          <w:bottom w:val="single" w:sz="4" w:space="0" w:color="A3BBD5"/>
          <w:right w:val="single" w:sz="4" w:space="0" w:color="A3BBD5"/>
        </w:tblBorders>
        <w:tblLayout w:type="fixed"/>
        <w:tblCellMar>
          <w:top w:w="57" w:type="dxa"/>
          <w:left w:w="57" w:type="dxa"/>
          <w:bottom w:w="57" w:type="dxa"/>
          <w:right w:w="57" w:type="dxa"/>
        </w:tblCellMar>
        <w:tblLook w:val="04A0" w:firstRow="1" w:lastRow="0" w:firstColumn="1" w:lastColumn="0" w:noHBand="0" w:noVBand="1"/>
      </w:tblPr>
      <w:tblGrid>
        <w:gridCol w:w="2042"/>
        <w:gridCol w:w="7654"/>
      </w:tblGrid>
      <w:tr w:rsidR="006A719A" w:rsidRPr="00DE0966" w:rsidTr="002919FB">
        <w:trPr>
          <w:trHeight w:val="117"/>
        </w:trPr>
        <w:tc>
          <w:tcPr>
            <w:tcW w:w="2042" w:type="dxa"/>
            <w:tcBorders>
              <w:top w:val="single" w:sz="4" w:space="0" w:color="A3BBD5"/>
              <w:bottom w:val="nil"/>
            </w:tcBorders>
            <w:shd w:val="clear" w:color="000000" w:fill="E6F0FA"/>
            <w:hideMark/>
          </w:tcPr>
          <w:p w:rsidR="006A719A" w:rsidRPr="00F90B32"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Abbreviated name</w:t>
            </w:r>
          </w:p>
        </w:tc>
        <w:tc>
          <w:tcPr>
            <w:tcW w:w="7654" w:type="dxa"/>
            <w:tcBorders>
              <w:top w:val="single" w:sz="4" w:space="0" w:color="A3BBD5"/>
            </w:tcBorders>
            <w:shd w:val="clear" w:color="auto" w:fill="auto"/>
            <w:vAlign w:val="center"/>
          </w:tcPr>
          <w:p w:rsidR="006A719A" w:rsidRPr="005E7236" w:rsidRDefault="006A719A" w:rsidP="002919FB">
            <w:pPr>
              <w:pStyle w:val="IndicatorName"/>
              <w:framePr w:hSpace="0" w:wrap="auto" w:vAnchor="margin" w:hAnchor="text" w:yAlign="inline"/>
            </w:pPr>
            <w:r>
              <w:t>International Health Regulations (IHR)</w:t>
            </w:r>
            <w:r w:rsidRPr="00813A89">
              <w:t xml:space="preserve"> core capacity index</w:t>
            </w:r>
          </w:p>
        </w:tc>
      </w:tr>
      <w:tr w:rsidR="006A719A" w:rsidRPr="00DE0966" w:rsidTr="002919FB">
        <w:trPr>
          <w:trHeight w:val="35"/>
        </w:trPr>
        <w:tc>
          <w:tcPr>
            <w:tcW w:w="2042" w:type="dxa"/>
            <w:tcBorders>
              <w:top w:val="nil"/>
              <w:bottom w:val="nil"/>
            </w:tcBorders>
            <w:shd w:val="clear" w:color="000000" w:fill="E6F0FA"/>
            <w:hideMark/>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Indicator name</w:t>
            </w:r>
          </w:p>
        </w:tc>
        <w:tc>
          <w:tcPr>
            <w:tcW w:w="7654" w:type="dxa"/>
            <w:shd w:val="clear" w:color="auto" w:fill="auto"/>
          </w:tcPr>
          <w:p w:rsidR="006A719A" w:rsidRPr="005E7236" w:rsidRDefault="006A719A" w:rsidP="002919FB">
            <w:pPr>
              <w:pStyle w:val="IndicatorText"/>
              <w:framePr w:hSpace="0" w:wrap="auto" w:vAnchor="margin" w:hAnchor="text" w:yAlign="inline"/>
            </w:pPr>
            <w:r w:rsidRPr="00582D96">
              <w:t>International Health Regulations (IHR)</w:t>
            </w:r>
            <w:r>
              <w:t xml:space="preserve"> </w:t>
            </w:r>
            <w:r w:rsidRPr="00813A89">
              <w:t>core capacity index</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Domain</w:t>
            </w:r>
          </w:p>
        </w:tc>
        <w:tc>
          <w:tcPr>
            <w:tcW w:w="7654" w:type="dxa"/>
            <w:shd w:val="clear" w:color="auto" w:fill="auto"/>
          </w:tcPr>
          <w:p w:rsidR="006A719A" w:rsidRDefault="006A719A" w:rsidP="002919FB">
            <w:pPr>
              <w:pStyle w:val="IndicatorText"/>
              <w:framePr w:hSpace="0" w:wrap="auto" w:vAnchor="margin" w:hAnchor="text" w:yAlign="inline"/>
            </w:pPr>
            <w:r>
              <w:t xml:space="preserve">Health systems </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Subdomain</w:t>
            </w:r>
          </w:p>
        </w:tc>
        <w:tc>
          <w:tcPr>
            <w:tcW w:w="7654" w:type="dxa"/>
            <w:shd w:val="clear" w:color="auto" w:fill="auto"/>
          </w:tcPr>
          <w:p w:rsidR="006A719A" w:rsidRDefault="006A719A" w:rsidP="002919FB">
            <w:pPr>
              <w:pStyle w:val="IndicatorText"/>
              <w:framePr w:hSpace="0" w:wrap="auto" w:vAnchor="margin" w:hAnchor="text" w:yAlign="inline"/>
            </w:pPr>
            <w:r>
              <w:t>HSS</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Associated terms</w:t>
            </w:r>
          </w:p>
        </w:tc>
        <w:tc>
          <w:tcPr>
            <w:tcW w:w="7654" w:type="dxa"/>
            <w:shd w:val="clear" w:color="auto" w:fill="auto"/>
          </w:tcPr>
          <w:p w:rsidR="006A719A" w:rsidRDefault="006A719A" w:rsidP="002919FB">
            <w:pPr>
              <w:pStyle w:val="IndicatorText"/>
              <w:framePr w:hSpace="0" w:wrap="auto" w:vAnchor="margin" w:hAnchor="text" w:yAlign="inline"/>
            </w:pPr>
            <w:r>
              <w:t>Health security</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Definition</w:t>
            </w:r>
          </w:p>
        </w:tc>
        <w:tc>
          <w:tcPr>
            <w:tcW w:w="7654" w:type="dxa"/>
            <w:shd w:val="clear" w:color="auto" w:fill="auto"/>
          </w:tcPr>
          <w:p w:rsidR="006A719A" w:rsidRDefault="006A719A" w:rsidP="002919FB">
            <w:pPr>
              <w:pStyle w:val="IndicatorText"/>
              <w:framePr w:hSpace="0" w:wrap="auto" w:vAnchor="margin" w:hAnchor="text" w:yAlign="inline"/>
            </w:pPr>
            <w:r>
              <w:t xml:space="preserve">Percentage of attributes of 13 core capacities that have been attained at a specific point in time. </w:t>
            </w:r>
            <w:r>
              <w:rPr>
                <w:rFonts w:ascii="Calibri" w:eastAsia="Times New Roman" w:hAnsi="Calibri" w:cs="Calibri"/>
                <w:szCs w:val="16"/>
              </w:rPr>
              <w:t xml:space="preserve">The 13 core capacities are: (1) </w:t>
            </w:r>
            <w:r w:rsidRPr="007A06A0">
              <w:rPr>
                <w:rFonts w:ascii="Calibri" w:eastAsia="Times New Roman" w:hAnsi="Calibri" w:cs="Calibri"/>
                <w:szCs w:val="16"/>
              </w:rPr>
              <w:t>National legislation, policy and financing</w:t>
            </w:r>
            <w:r>
              <w:rPr>
                <w:rFonts w:ascii="Calibri" w:eastAsia="Times New Roman" w:hAnsi="Calibri" w:cs="Calibri"/>
                <w:szCs w:val="16"/>
              </w:rPr>
              <w:t xml:space="preserve">; (2) </w:t>
            </w:r>
            <w:r w:rsidRPr="007A06A0">
              <w:rPr>
                <w:rFonts w:ascii="Calibri" w:eastAsia="Times New Roman" w:hAnsi="Calibri" w:cs="Calibri"/>
                <w:szCs w:val="16"/>
              </w:rPr>
              <w:t xml:space="preserve">Coordination and </w:t>
            </w:r>
            <w:r>
              <w:rPr>
                <w:rFonts w:ascii="Calibri" w:eastAsia="Times New Roman" w:hAnsi="Calibri" w:cs="Calibri"/>
                <w:szCs w:val="16"/>
              </w:rPr>
              <w:t>National Focal Point</w:t>
            </w:r>
            <w:r w:rsidRPr="007A06A0">
              <w:rPr>
                <w:rFonts w:ascii="Calibri" w:eastAsia="Times New Roman" w:hAnsi="Calibri" w:cs="Calibri"/>
                <w:szCs w:val="16"/>
              </w:rPr>
              <w:t xml:space="preserve"> communications</w:t>
            </w:r>
            <w:r>
              <w:rPr>
                <w:rFonts w:ascii="Calibri" w:eastAsia="Times New Roman" w:hAnsi="Calibri" w:cs="Calibri"/>
                <w:szCs w:val="16"/>
              </w:rPr>
              <w:t xml:space="preserve">; (3) Surveillance; (4) Response; (5) Preparedness; (6) Risk communication; (7) Human resources; (8) Laboratory; (9) Points of entry; (10) Zoonotic events; (11) Food safety; (12) Chemical events; (13) </w:t>
            </w:r>
            <w:proofErr w:type="spellStart"/>
            <w:r>
              <w:rPr>
                <w:rFonts w:ascii="Calibri" w:eastAsia="Times New Roman" w:hAnsi="Calibri" w:cs="Calibri"/>
                <w:szCs w:val="16"/>
              </w:rPr>
              <w:t>Radionuclear</w:t>
            </w:r>
            <w:proofErr w:type="spellEnd"/>
            <w:r>
              <w:rPr>
                <w:rFonts w:ascii="Calibri" w:eastAsia="Times New Roman" w:hAnsi="Calibri" w:cs="Calibri"/>
                <w:szCs w:val="16"/>
              </w:rPr>
              <w:t xml:space="preserve"> emergencies.</w:t>
            </w:r>
          </w:p>
        </w:tc>
      </w:tr>
      <w:tr w:rsidR="006A719A" w:rsidRPr="00DE0966" w:rsidTr="002919FB">
        <w:trPr>
          <w:trHeight w:val="23"/>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Numerator</w:t>
            </w:r>
          </w:p>
        </w:tc>
        <w:tc>
          <w:tcPr>
            <w:tcW w:w="7654" w:type="dxa"/>
            <w:shd w:val="clear" w:color="auto" w:fill="auto"/>
          </w:tcPr>
          <w:p w:rsidR="006A719A" w:rsidRDefault="006A719A" w:rsidP="002919FB">
            <w:pPr>
              <w:pStyle w:val="IndicatorText"/>
              <w:framePr w:hSpace="0" w:wrap="auto" w:vAnchor="margin" w:hAnchor="text" w:yAlign="inline"/>
            </w:pPr>
            <w:r>
              <w:t>Number of attributes attained.</w:t>
            </w:r>
          </w:p>
        </w:tc>
      </w:tr>
      <w:tr w:rsidR="006A719A" w:rsidRPr="00DE0966" w:rsidTr="002919FB">
        <w:trPr>
          <w:trHeight w:val="62"/>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Denominator</w:t>
            </w:r>
          </w:p>
        </w:tc>
        <w:tc>
          <w:tcPr>
            <w:tcW w:w="7654" w:type="dxa"/>
            <w:shd w:val="clear" w:color="auto" w:fill="auto"/>
          </w:tcPr>
          <w:p w:rsidR="006A719A" w:rsidRDefault="006A719A" w:rsidP="002919FB">
            <w:pPr>
              <w:pStyle w:val="IndicatorText"/>
              <w:framePr w:hSpace="0" w:wrap="auto" w:vAnchor="margin" w:hAnchor="text" w:yAlign="inline"/>
            </w:pPr>
            <w:r>
              <w:t>Total number of attributes.</w:t>
            </w:r>
          </w:p>
        </w:tc>
      </w:tr>
      <w:tr w:rsidR="006A719A" w:rsidRPr="00DE0966" w:rsidTr="002919FB">
        <w:trPr>
          <w:trHeight w:val="268"/>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Disaggregation/</w:t>
            </w:r>
            <w:r w:rsidRPr="00F90B32">
              <w:rPr>
                <w:rFonts w:eastAsia="Times New Roman" w:cstheme="minorHAnsi"/>
                <w:color w:val="003366"/>
                <w:sz w:val="16"/>
                <w:szCs w:val="16"/>
              </w:rPr>
              <w:br/>
              <w:t>additional dimension</w:t>
            </w:r>
          </w:p>
        </w:tc>
        <w:tc>
          <w:tcPr>
            <w:tcW w:w="7654" w:type="dxa"/>
            <w:shd w:val="clear" w:color="auto" w:fill="auto"/>
          </w:tcPr>
          <w:p w:rsidR="006A719A" w:rsidRDefault="006A719A" w:rsidP="002919FB">
            <w:pPr>
              <w:pStyle w:val="IndicatorText"/>
              <w:framePr w:hSpace="0" w:wrap="auto" w:vAnchor="margin" w:hAnchor="text" w:yAlign="inline"/>
            </w:pPr>
            <w:r>
              <w:t> </w:t>
            </w:r>
          </w:p>
        </w:tc>
      </w:tr>
      <w:tr w:rsidR="006A719A" w:rsidRPr="00DE0966" w:rsidTr="002919FB">
        <w:trPr>
          <w:trHeight w:val="122"/>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Method of measurement</w:t>
            </w:r>
          </w:p>
        </w:tc>
        <w:tc>
          <w:tcPr>
            <w:tcW w:w="7654" w:type="dxa"/>
            <w:shd w:val="clear" w:color="auto" w:fill="auto"/>
          </w:tcPr>
          <w:p w:rsidR="006A719A" w:rsidRDefault="006A719A" w:rsidP="002919FB">
            <w:pPr>
              <w:pStyle w:val="IndicatorText"/>
              <w:framePr w:hSpace="0" w:wrap="auto" w:vAnchor="margin" w:hAnchor="text" w:yAlign="inline"/>
            </w:pPr>
            <w:r>
              <w:t>Based on a set of attributes of 13 core capacities from a standard WHO instrument.</w:t>
            </w:r>
          </w:p>
        </w:tc>
      </w:tr>
      <w:tr w:rsidR="006A719A" w:rsidRPr="00DE0966" w:rsidTr="002919FB">
        <w:trPr>
          <w:trHeight w:val="160"/>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Method of estimation</w:t>
            </w:r>
          </w:p>
        </w:tc>
        <w:tc>
          <w:tcPr>
            <w:tcW w:w="7654" w:type="dxa"/>
            <w:shd w:val="clear" w:color="auto" w:fill="auto"/>
          </w:tcPr>
          <w:p w:rsidR="006A719A" w:rsidRDefault="006A719A" w:rsidP="002919FB">
            <w:pPr>
              <w:pStyle w:val="IndicatorText"/>
              <w:framePr w:hSpace="0" w:wrap="auto" w:vAnchor="margin" w:hAnchor="text" w:yAlign="inline"/>
            </w:pPr>
          </w:p>
        </w:tc>
      </w:tr>
      <w:tr w:rsidR="006A719A" w:rsidRPr="00DE0966" w:rsidTr="002919FB">
        <w:trPr>
          <w:trHeight w:val="224"/>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Measurement frequency</w:t>
            </w:r>
          </w:p>
        </w:tc>
        <w:tc>
          <w:tcPr>
            <w:tcW w:w="7654" w:type="dxa"/>
            <w:shd w:val="clear" w:color="auto" w:fill="auto"/>
          </w:tcPr>
          <w:p w:rsidR="006A719A" w:rsidRPr="005E7236" w:rsidRDefault="006A719A" w:rsidP="002919FB">
            <w:pPr>
              <w:pStyle w:val="IndicatorText"/>
              <w:framePr w:hSpace="0" w:wrap="auto" w:vAnchor="margin" w:hAnchor="text" w:yAlign="inline"/>
            </w:pPr>
            <w:r>
              <w:t>Biannual</w:t>
            </w:r>
          </w:p>
        </w:tc>
      </w:tr>
      <w:tr w:rsidR="006A719A" w:rsidRPr="00DE0966" w:rsidTr="002919FB">
        <w:trPr>
          <w:trHeight w:val="159"/>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076DFB">
              <w:rPr>
                <w:rFonts w:eastAsia="Times New Roman" w:cstheme="minorHAnsi"/>
                <w:color w:val="003366"/>
                <w:sz w:val="16"/>
                <w:szCs w:val="16"/>
              </w:rPr>
              <w:t>Monitoring and evaluation</w:t>
            </w:r>
            <w:r>
              <w:rPr>
                <w:rFonts w:eastAsia="Times New Roman" w:cstheme="minorHAnsi"/>
                <w:color w:val="003366"/>
                <w:sz w:val="16"/>
                <w:szCs w:val="16"/>
              </w:rPr>
              <w:t xml:space="preserve"> </w:t>
            </w:r>
            <w:r w:rsidRPr="00F90B32">
              <w:rPr>
                <w:rFonts w:eastAsia="Times New Roman" w:cstheme="minorHAnsi"/>
                <w:color w:val="003366"/>
                <w:sz w:val="16"/>
                <w:szCs w:val="16"/>
              </w:rPr>
              <w:t>framework</w:t>
            </w:r>
          </w:p>
        </w:tc>
        <w:tc>
          <w:tcPr>
            <w:tcW w:w="7654" w:type="dxa"/>
            <w:shd w:val="clear" w:color="auto" w:fill="auto"/>
          </w:tcPr>
          <w:p w:rsidR="006A719A" w:rsidRPr="005E7236" w:rsidRDefault="006A719A" w:rsidP="002919FB">
            <w:pPr>
              <w:pStyle w:val="IndicatorText"/>
              <w:framePr w:hSpace="0" w:wrap="auto" w:vAnchor="margin" w:hAnchor="text" w:yAlign="inline"/>
            </w:pPr>
            <w:r w:rsidRPr="00813A89">
              <w:t>Output</w:t>
            </w:r>
          </w:p>
        </w:tc>
      </w:tr>
      <w:tr w:rsidR="006A719A" w:rsidRPr="00DE0966" w:rsidTr="002919FB">
        <w:trPr>
          <w:trHeight w:val="82"/>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Preferred data sources</w:t>
            </w:r>
          </w:p>
        </w:tc>
        <w:tc>
          <w:tcPr>
            <w:tcW w:w="7654" w:type="dxa"/>
            <w:shd w:val="clear" w:color="auto" w:fill="auto"/>
          </w:tcPr>
          <w:p w:rsidR="006A719A" w:rsidRPr="005E7236" w:rsidRDefault="006A719A" w:rsidP="002919FB">
            <w:pPr>
              <w:pStyle w:val="IndicatorText"/>
              <w:framePr w:hSpace="0" w:wrap="auto" w:vAnchor="margin" w:hAnchor="text" w:yAlign="inline"/>
            </w:pPr>
            <w:r>
              <w:t>Key informant survey</w:t>
            </w:r>
          </w:p>
        </w:tc>
      </w:tr>
      <w:tr w:rsidR="006A719A" w:rsidRPr="00DE0966" w:rsidTr="002919FB">
        <w:trPr>
          <w:trHeight w:val="160"/>
        </w:trPr>
        <w:tc>
          <w:tcPr>
            <w:tcW w:w="2042" w:type="dxa"/>
            <w:tcBorders>
              <w:top w:val="nil"/>
              <w:bottom w:val="nil"/>
            </w:tcBorders>
            <w:shd w:val="clear" w:color="000000" w:fill="E6F0FA"/>
          </w:tcPr>
          <w:p w:rsidR="006A719A" w:rsidRPr="00F90B32" w:rsidRDefault="006A719A" w:rsidP="002919FB">
            <w:pPr>
              <w:spacing w:before="80" w:after="80"/>
              <w:rPr>
                <w:rFonts w:eastAsia="Times New Roman" w:cstheme="minorHAnsi"/>
                <w:color w:val="003366"/>
                <w:sz w:val="16"/>
                <w:szCs w:val="16"/>
              </w:rPr>
            </w:pPr>
            <w:r w:rsidRPr="00F90B32">
              <w:rPr>
                <w:rFonts w:eastAsia="Times New Roman" w:cstheme="minorHAnsi"/>
                <w:color w:val="003366"/>
                <w:sz w:val="16"/>
                <w:szCs w:val="16"/>
              </w:rPr>
              <w:t>Other possible data sources</w:t>
            </w:r>
          </w:p>
        </w:tc>
        <w:tc>
          <w:tcPr>
            <w:tcW w:w="7654" w:type="dxa"/>
            <w:shd w:val="clear" w:color="auto" w:fill="auto"/>
          </w:tcPr>
          <w:p w:rsidR="006A719A" w:rsidRPr="005E7236" w:rsidRDefault="006A719A" w:rsidP="002919FB">
            <w:pPr>
              <w:pStyle w:val="IndicatorText"/>
              <w:framePr w:hSpace="0" w:wrap="auto" w:vAnchor="margin" w:hAnchor="text" w:yAlign="inline"/>
            </w:pPr>
          </w:p>
        </w:tc>
      </w:tr>
      <w:tr w:rsidR="006A719A" w:rsidRPr="00DE0966" w:rsidTr="002919FB">
        <w:trPr>
          <w:trHeight w:val="160"/>
        </w:trPr>
        <w:tc>
          <w:tcPr>
            <w:tcW w:w="2042" w:type="dxa"/>
            <w:tcBorders>
              <w:top w:val="nil"/>
              <w:bottom w:val="single" w:sz="4" w:space="0" w:color="A3BBD5"/>
            </w:tcBorders>
            <w:shd w:val="clear" w:color="000000" w:fill="E6F0FA"/>
          </w:tcPr>
          <w:p w:rsidR="006A719A" w:rsidRPr="00F90B32" w:rsidRDefault="006A719A" w:rsidP="002919FB">
            <w:pPr>
              <w:spacing w:before="80" w:after="80"/>
              <w:rPr>
                <w:rFonts w:eastAsia="Times New Roman" w:cstheme="minorHAnsi"/>
                <w:color w:val="003366"/>
                <w:sz w:val="16"/>
                <w:szCs w:val="16"/>
              </w:rPr>
            </w:pPr>
            <w:r>
              <w:rPr>
                <w:rFonts w:eastAsia="Times New Roman" w:cstheme="minorHAnsi"/>
                <w:color w:val="003366"/>
                <w:sz w:val="16"/>
                <w:szCs w:val="16"/>
              </w:rPr>
              <w:t>Further information and related links</w:t>
            </w:r>
          </w:p>
        </w:tc>
        <w:tc>
          <w:tcPr>
            <w:tcW w:w="7654" w:type="dxa"/>
            <w:shd w:val="clear" w:color="auto" w:fill="auto"/>
          </w:tcPr>
          <w:p w:rsidR="006A719A" w:rsidRDefault="006A719A" w:rsidP="002919FB">
            <w:pPr>
              <w:pStyle w:val="IndicatorText"/>
              <w:framePr w:hSpace="0" w:wrap="auto" w:vAnchor="margin" w:hAnchor="text" w:yAlign="inline"/>
            </w:pPr>
            <w:r w:rsidRPr="00763A11">
              <w:rPr>
                <w:lang w:val="en-US"/>
              </w:rPr>
              <w:t>IHR core capacity monitoring framework: checklist and indicators for monitoring progress in the development of IHR core capacities in States Parties. Geneva: World Health Organization; 2013 (</w:t>
            </w:r>
            <w:r w:rsidRPr="0056160E">
              <w:rPr>
                <w:lang w:val="en-US"/>
              </w:rPr>
              <w:t>http://apps.who.int/iris/bitstream/10665/84933/1/WHO_HSE_GCR_2013.2_eng.pdf</w:t>
            </w:r>
            <w:r w:rsidRPr="00763A11">
              <w:rPr>
                <w:lang w:val="en-US"/>
              </w:rPr>
              <w:t>, accessed 29 March 2015).</w:t>
            </w:r>
          </w:p>
          <w:p w:rsidR="006A719A" w:rsidRDefault="006A719A" w:rsidP="002919FB">
            <w:pPr>
              <w:pStyle w:val="IndicatorText"/>
              <w:framePr w:hSpace="0" w:wrap="auto" w:vAnchor="margin" w:hAnchor="text" w:yAlign="inline"/>
            </w:pPr>
            <w:r w:rsidRPr="009D4C4B">
              <w:rPr>
                <w:lang w:val="en-US"/>
              </w:rPr>
              <w:t>World Health Assembly governing body documentation: official records. Geneva: World Health Organization (</w:t>
            </w:r>
            <w:r w:rsidRPr="0056160E">
              <w:rPr>
                <w:lang w:val="en-US"/>
              </w:rPr>
              <w:t>http://apps.who.int/gb/or/</w:t>
            </w:r>
            <w:r w:rsidRPr="009D4C4B">
              <w:rPr>
                <w:lang w:val="en-US"/>
              </w:rPr>
              <w:t>, accessed 29 March 2015).</w:t>
            </w:r>
          </w:p>
        </w:tc>
      </w:tr>
    </w:tbl>
    <w:p w:rsidR="006A719A" w:rsidRPr="006A719A" w:rsidRDefault="006A719A" w:rsidP="006A719A"/>
    <w:sectPr w:rsidR="006A719A" w:rsidRPr="006A719A" w:rsidSect="00A105A0">
      <w:headerReference w:type="default" r:id="rId11"/>
      <w:footerReference w:type="default" r:id="rId12"/>
      <w:footerReference w:type="first" r:id="rId13"/>
      <w:type w:val="oddPage"/>
      <w:pgSz w:w="11906" w:h="16838" w:code="9"/>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RUSCIANO, Florence" w:date="2015-05-14T11:40:00Z" w:initials="ruscianof">
    <w:p w:rsidR="00405F21" w:rsidRDefault="00405F21">
      <w:pPr>
        <w:pStyle w:val="CommentText"/>
      </w:pPr>
      <w:r>
        <w:rPr>
          <w:rStyle w:val="CommentReference"/>
        </w:rPr>
        <w:annotationRef/>
      </w:r>
    </w:p>
    <w:p w:rsidR="00405F21" w:rsidRDefault="00405F21">
      <w:pPr>
        <w:pStyle w:val="CommentText"/>
      </w:pPr>
      <w:r>
        <w:t>Edited from 100 to 1000</w:t>
      </w:r>
    </w:p>
  </w:comment>
  <w:comment w:id="7" w:author="RUSCIANO, Florence" w:date="2015-05-14T11:42:00Z" w:initials="ruscianof">
    <w:p w:rsidR="00405F21" w:rsidRDefault="00405F21">
      <w:pPr>
        <w:pStyle w:val="CommentText"/>
      </w:pPr>
      <w:r>
        <w:rPr>
          <w:rStyle w:val="CommentReference"/>
        </w:rPr>
        <w:annotationRef/>
      </w:r>
    </w:p>
    <w:p w:rsidR="00405F21" w:rsidRDefault="00405F21">
      <w:pPr>
        <w:pStyle w:val="CommentText"/>
      </w:pPr>
      <w:r>
        <w:t>Edited from HIV/AIDS to AIDS</w:t>
      </w:r>
    </w:p>
  </w:comment>
  <w:comment w:id="8" w:author="RUSCIANO, Florence" w:date="2015-05-14T11:44:00Z" w:initials="ruscianof">
    <w:p w:rsidR="00405F21" w:rsidRDefault="00405F21">
      <w:pPr>
        <w:pStyle w:val="CommentText"/>
      </w:pPr>
      <w:r>
        <w:rPr>
          <w:rStyle w:val="CommentReference"/>
        </w:rPr>
        <w:annotationRef/>
      </w:r>
    </w:p>
    <w:p w:rsidR="00405F21" w:rsidRDefault="00405F21">
      <w:pPr>
        <w:pStyle w:val="CommentText"/>
      </w:pPr>
      <w:r>
        <w:t>edited from 1000 to 100 000</w:t>
      </w:r>
    </w:p>
  </w:comment>
  <w:comment w:id="10" w:author="RUSCIANO, Florence" w:date="2015-05-14T11:50:00Z" w:initials="ruscianof">
    <w:p w:rsidR="00405F21" w:rsidRDefault="00405F21">
      <w:pPr>
        <w:pStyle w:val="CommentText"/>
      </w:pPr>
      <w:r>
        <w:rPr>
          <w:rStyle w:val="CommentReference"/>
        </w:rPr>
        <w:annotationRef/>
      </w:r>
    </w:p>
    <w:p w:rsidR="00405F21" w:rsidRDefault="00405F21">
      <w:pPr>
        <w:pStyle w:val="CommentText"/>
      </w:pPr>
      <w:r>
        <w:t>Propose to change “number” to “rate per 100,000 population”</w:t>
      </w:r>
    </w:p>
  </w:comment>
  <w:comment w:id="16" w:author="RUSCIANO, Florence" w:date="2015-05-14T12:22:00Z" w:initials="ruscianof">
    <w:p w:rsidR="00405F21" w:rsidRDefault="00405F21" w:rsidP="00405F21">
      <w:pPr>
        <w:pStyle w:val="CommentText"/>
      </w:pPr>
      <w:r>
        <w:rPr>
          <w:rStyle w:val="CommentReference"/>
        </w:rPr>
        <w:annotationRef/>
      </w:r>
    </w:p>
    <w:p w:rsidR="00405F21" w:rsidRDefault="00405F21" w:rsidP="00405F21">
      <w:pPr>
        <w:pStyle w:val="CommentText"/>
      </w:pPr>
      <w:r>
        <w:t>Edit age range to 15-19 years</w:t>
      </w:r>
    </w:p>
  </w:comment>
  <w:comment w:id="19" w:author="RUSCIANO, Florence" w:date="2015-05-14T12:24:00Z" w:initials="ruscianof">
    <w:p w:rsidR="00405F21" w:rsidRDefault="00405F21">
      <w:pPr>
        <w:pStyle w:val="CommentText"/>
      </w:pPr>
      <w:r>
        <w:rPr>
          <w:rStyle w:val="CommentReference"/>
        </w:rPr>
        <w:annotationRef/>
      </w:r>
    </w:p>
    <w:p w:rsidR="00405F21" w:rsidRDefault="00405F21">
      <w:pPr>
        <w:pStyle w:val="CommentText"/>
      </w:pPr>
      <w:r>
        <w:t>Replace indicator by indicator on UHC coverage</w:t>
      </w:r>
    </w:p>
  </w:comment>
  <w:comment w:id="20" w:author="RUSCIANO, Florence" w:date="2015-05-14T12:25:00Z" w:initials="ruscianof">
    <w:p w:rsidR="00405F21" w:rsidRDefault="00405F21">
      <w:pPr>
        <w:pStyle w:val="CommentText"/>
      </w:pPr>
      <w:r>
        <w:rPr>
          <w:rStyle w:val="CommentReference"/>
        </w:rPr>
        <w:annotationRef/>
      </w:r>
    </w:p>
    <w:p w:rsidR="00405F21" w:rsidRDefault="00405F21">
      <w:pPr>
        <w:pStyle w:val="CommentText"/>
      </w:pPr>
      <w:r>
        <w:t>Merge impoverishing and catastrophic health expenditure into one indicator</w:t>
      </w:r>
    </w:p>
  </w:comment>
  <w:comment w:id="23" w:author="RUSCIANO, Florence" w:date="2015-05-14T12:32:00Z" w:initials="ruscianof">
    <w:p w:rsidR="00111071" w:rsidRDefault="00111071">
      <w:pPr>
        <w:pStyle w:val="CommentText"/>
      </w:pPr>
      <w:r>
        <w:rPr>
          <w:rStyle w:val="CommentReference"/>
        </w:rPr>
        <w:annotationRef/>
      </w:r>
    </w:p>
    <w:p w:rsidR="00111071" w:rsidRDefault="00111071">
      <w:pPr>
        <w:pStyle w:val="CommentText"/>
      </w:pPr>
      <w:r>
        <w:t>Edit from “access” to “availability”</w:t>
      </w:r>
    </w:p>
  </w:comment>
  <w:comment w:id="25" w:author="RUSCIANO, Florence" w:date="2015-05-14T12:35:00Z" w:initials="ruscianof">
    <w:p w:rsidR="00111071" w:rsidRDefault="00111071">
      <w:pPr>
        <w:pStyle w:val="CommentText"/>
      </w:pPr>
      <w:r>
        <w:rPr>
          <w:rStyle w:val="CommentReference"/>
        </w:rPr>
        <w:annotationRef/>
      </w:r>
    </w:p>
    <w:p w:rsidR="00111071" w:rsidRDefault="00111071">
      <w:pPr>
        <w:pStyle w:val="CommentText"/>
      </w:pPr>
      <w:r>
        <w:t>Edit indicator name to “c</w:t>
      </w:r>
      <w:r w:rsidRPr="00111071">
        <w:t>urrent expenditure on health by general government and compulsory schemes</w:t>
      </w:r>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0EE" w:rsidRDefault="006D20EE" w:rsidP="00E51545">
      <w:pPr>
        <w:spacing w:after="0" w:line="240" w:lineRule="auto"/>
      </w:pPr>
      <w:r>
        <w:separator/>
      </w:r>
    </w:p>
  </w:endnote>
  <w:endnote w:type="continuationSeparator" w:id="0">
    <w:p w:rsidR="006D20EE" w:rsidRDefault="006D20EE" w:rsidP="00E51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yriadPro-Black">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ヒラギノ角ゴ Pro W3">
    <w:panose1 w:val="00000000000000000000"/>
    <w:charset w:val="86"/>
    <w:family w:val="roman"/>
    <w:notTrueType/>
    <w:pitch w:val="default"/>
  </w:font>
  <w:font w:name="Mangal">
    <w:panose1 w:val="02040503050203030202"/>
    <w:charset w:val="00"/>
    <w:family w:val="roman"/>
    <w:pitch w:val="variable"/>
    <w:sig w:usb0="00008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Myriad Pro Light Cond">
    <w:panose1 w:val="00000000000000000000"/>
    <w:charset w:val="00"/>
    <w:family w:val="swiss"/>
    <w:notTrueType/>
    <w:pitch w:val="variable"/>
    <w:sig w:usb0="A00002AF" w:usb1="5000204B" w:usb2="00000000"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LaikaFM-BookRoman">
    <w:panose1 w:val="00000000000000000000"/>
    <w:charset w:val="00"/>
    <w:family w:val="auto"/>
    <w:notTrueType/>
    <w:pitch w:val="default"/>
    <w:sig w:usb0="00000003" w:usb1="00000000" w:usb2="00000000" w:usb3="00000000" w:csb0="00000001" w:csb1="00000000"/>
  </w:font>
  <w:font w:name="TT15Ct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405F21" w:rsidTr="00405F21">
      <w:tc>
        <w:tcPr>
          <w:tcW w:w="4927" w:type="dxa"/>
          <w:tcBorders>
            <w:top w:val="dotted" w:sz="4" w:space="0" w:color="808080" w:themeColor="background1" w:themeShade="80"/>
          </w:tcBorders>
        </w:tcPr>
        <w:p w:rsidR="00405F21" w:rsidRPr="00CB5AAE" w:rsidRDefault="00405F21" w:rsidP="00405F21">
          <w:pPr>
            <w:pStyle w:val="Footer"/>
            <w:spacing w:before="120" w:after="0"/>
            <w:jc w:val="left"/>
            <w:rPr>
              <w:rFonts w:ascii="Arial Narrow" w:hAnsi="Arial Narrow"/>
              <w:color w:val="808080" w:themeColor="background1" w:themeShade="80"/>
              <w:sz w:val="18"/>
              <w:szCs w:val="18"/>
            </w:rPr>
          </w:pPr>
          <w:r w:rsidRPr="00C3016A">
            <w:rPr>
              <w:rFonts w:ascii="Arial Narrow" w:hAnsi="Arial Narrow"/>
              <w:color w:val="7F7F7F" w:themeColor="text1" w:themeTint="80"/>
              <w:sz w:val="18"/>
              <w:szCs w:val="18"/>
              <w:lang w:val="en-GB"/>
            </w:rPr>
            <w:t xml:space="preserve">SDG Health indicators </w:t>
          </w:r>
          <w:r>
            <w:rPr>
              <w:rFonts w:ascii="Arial Narrow" w:hAnsi="Arial Narrow"/>
              <w:color w:val="7F7F7F" w:themeColor="text1" w:themeTint="80"/>
              <w:sz w:val="18"/>
              <w:szCs w:val="18"/>
              <w:lang w:val="en-GB"/>
            </w:rPr>
            <w:t xml:space="preserve">(Goal 3) </w:t>
          </w:r>
          <w:r w:rsidRPr="00C3016A">
            <w:rPr>
              <w:rFonts w:ascii="Arial Narrow" w:hAnsi="Arial Narrow"/>
              <w:color w:val="7F7F7F" w:themeColor="text1" w:themeTint="80"/>
              <w:sz w:val="18"/>
              <w:szCs w:val="18"/>
              <w:lang w:val="en-GB"/>
            </w:rPr>
            <w:t>metadata</w:t>
          </w:r>
          <w:r>
            <w:rPr>
              <w:rFonts w:ascii="Arial Narrow" w:hAnsi="Arial Narrow"/>
              <w:color w:val="7F7F7F" w:themeColor="text1" w:themeTint="80"/>
              <w:sz w:val="18"/>
              <w:szCs w:val="18"/>
              <w:lang w:val="en-GB"/>
            </w:rPr>
            <w:t xml:space="preserve"> | WHO, 13 May 2015</w:t>
          </w:r>
        </w:p>
      </w:tc>
      <w:tc>
        <w:tcPr>
          <w:tcW w:w="4927" w:type="dxa"/>
          <w:tcBorders>
            <w:top w:val="dotted" w:sz="4" w:space="0" w:color="808080" w:themeColor="background1" w:themeShade="80"/>
          </w:tcBorders>
        </w:tcPr>
        <w:p w:rsidR="00405F21" w:rsidRPr="00CB5AAE" w:rsidRDefault="00405F21" w:rsidP="00405F21">
          <w:pPr>
            <w:pStyle w:val="Footer"/>
            <w:spacing w:before="120" w:after="0"/>
            <w:jc w:val="right"/>
            <w:rPr>
              <w:rFonts w:ascii="Arial Narrow" w:hAnsi="Arial Narrow"/>
              <w:color w:val="808080" w:themeColor="background1" w:themeShade="80"/>
              <w:sz w:val="18"/>
              <w:szCs w:val="18"/>
            </w:rPr>
          </w:pPr>
          <w:r w:rsidRPr="00CB5AAE">
            <w:rPr>
              <w:rFonts w:ascii="Arial Narrow" w:hAnsi="Arial Narrow"/>
              <w:color w:val="808080" w:themeColor="background1" w:themeShade="80"/>
              <w:sz w:val="18"/>
              <w:szCs w:val="18"/>
            </w:rPr>
            <w:t xml:space="preserve">Page </w:t>
          </w:r>
          <w:r w:rsidRPr="00CB5AAE">
            <w:rPr>
              <w:rFonts w:ascii="Arial Narrow" w:hAnsi="Arial Narrow"/>
              <w:b/>
              <w:color w:val="808080" w:themeColor="background1" w:themeShade="80"/>
              <w:sz w:val="18"/>
              <w:szCs w:val="18"/>
            </w:rPr>
            <w:fldChar w:fldCharType="begin"/>
          </w:r>
          <w:r w:rsidRPr="00CB5AAE">
            <w:rPr>
              <w:rFonts w:ascii="Arial Narrow" w:hAnsi="Arial Narrow"/>
              <w:b/>
              <w:color w:val="808080" w:themeColor="background1" w:themeShade="80"/>
              <w:sz w:val="18"/>
              <w:szCs w:val="18"/>
            </w:rPr>
            <w:instrText xml:space="preserve"> PAGE  \* Arabic  \* MERGEFORMAT </w:instrText>
          </w:r>
          <w:r w:rsidRPr="00CB5AAE">
            <w:rPr>
              <w:rFonts w:ascii="Arial Narrow" w:hAnsi="Arial Narrow"/>
              <w:b/>
              <w:color w:val="808080" w:themeColor="background1" w:themeShade="80"/>
              <w:sz w:val="18"/>
              <w:szCs w:val="18"/>
            </w:rPr>
            <w:fldChar w:fldCharType="separate"/>
          </w:r>
          <w:r w:rsidR="00925D5B">
            <w:rPr>
              <w:rFonts w:ascii="Arial Narrow" w:hAnsi="Arial Narrow"/>
              <w:b/>
              <w:noProof/>
              <w:color w:val="808080" w:themeColor="background1" w:themeShade="80"/>
              <w:sz w:val="18"/>
              <w:szCs w:val="18"/>
            </w:rPr>
            <w:t>1</w:t>
          </w:r>
          <w:r w:rsidRPr="00CB5AAE">
            <w:rPr>
              <w:rFonts w:ascii="Arial Narrow" w:hAnsi="Arial Narrow"/>
              <w:b/>
              <w:color w:val="808080" w:themeColor="background1" w:themeShade="80"/>
              <w:sz w:val="18"/>
              <w:szCs w:val="18"/>
            </w:rPr>
            <w:fldChar w:fldCharType="end"/>
          </w:r>
          <w:r w:rsidRPr="00CB5AAE">
            <w:rPr>
              <w:rFonts w:ascii="Arial Narrow" w:hAnsi="Arial Narrow"/>
              <w:color w:val="808080" w:themeColor="background1" w:themeShade="80"/>
              <w:sz w:val="18"/>
              <w:szCs w:val="18"/>
            </w:rPr>
            <w:t xml:space="preserve"> of </w:t>
          </w:r>
          <w:r w:rsidRPr="00CB5AAE">
            <w:rPr>
              <w:rFonts w:ascii="Arial Narrow" w:hAnsi="Arial Narrow"/>
              <w:b/>
              <w:color w:val="808080" w:themeColor="background1" w:themeShade="80"/>
              <w:sz w:val="18"/>
              <w:szCs w:val="18"/>
            </w:rPr>
            <w:fldChar w:fldCharType="begin"/>
          </w:r>
          <w:r w:rsidRPr="00CB5AAE">
            <w:rPr>
              <w:rFonts w:ascii="Arial Narrow" w:hAnsi="Arial Narrow"/>
              <w:b/>
              <w:color w:val="808080" w:themeColor="background1" w:themeShade="80"/>
              <w:sz w:val="18"/>
              <w:szCs w:val="18"/>
            </w:rPr>
            <w:instrText xml:space="preserve"> NUMPAGES  \* Arabic  \* MERGEFORMAT </w:instrText>
          </w:r>
          <w:r w:rsidRPr="00CB5AAE">
            <w:rPr>
              <w:rFonts w:ascii="Arial Narrow" w:hAnsi="Arial Narrow"/>
              <w:b/>
              <w:color w:val="808080" w:themeColor="background1" w:themeShade="80"/>
              <w:sz w:val="18"/>
              <w:szCs w:val="18"/>
            </w:rPr>
            <w:fldChar w:fldCharType="separate"/>
          </w:r>
          <w:r w:rsidR="00925D5B">
            <w:rPr>
              <w:rFonts w:ascii="Arial Narrow" w:hAnsi="Arial Narrow"/>
              <w:b/>
              <w:noProof/>
              <w:color w:val="808080" w:themeColor="background1" w:themeShade="80"/>
              <w:sz w:val="18"/>
              <w:szCs w:val="18"/>
            </w:rPr>
            <w:t>1</w:t>
          </w:r>
          <w:r w:rsidRPr="00CB5AAE">
            <w:rPr>
              <w:rFonts w:ascii="Arial Narrow" w:hAnsi="Arial Narrow"/>
              <w:b/>
              <w:color w:val="808080" w:themeColor="background1" w:themeShade="80"/>
              <w:sz w:val="18"/>
              <w:szCs w:val="18"/>
            </w:rPr>
            <w:fldChar w:fldCharType="end"/>
          </w:r>
        </w:p>
      </w:tc>
    </w:tr>
  </w:tbl>
  <w:p w:rsidR="00405F21" w:rsidRPr="00C3016A" w:rsidRDefault="00405F21" w:rsidP="00C3016A">
    <w:pPr>
      <w:pStyle w:val="Footer"/>
      <w:rPr>
        <w:rFonts w:ascii="Arial Narrow" w:hAnsi="Arial Narrow"/>
        <w:color w:val="7F7F7F" w:themeColor="text1" w:themeTint="80"/>
        <w:sz w:val="18"/>
        <w:szCs w:val="18"/>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405F21" w:rsidTr="00CB5AAE">
      <w:tc>
        <w:tcPr>
          <w:tcW w:w="4927" w:type="dxa"/>
          <w:tcBorders>
            <w:top w:val="dotted" w:sz="4" w:space="0" w:color="808080" w:themeColor="background1" w:themeShade="80"/>
          </w:tcBorders>
        </w:tcPr>
        <w:p w:rsidR="00405F21" w:rsidRPr="00CB5AAE" w:rsidRDefault="00405F21" w:rsidP="00CB5AAE">
          <w:pPr>
            <w:pStyle w:val="Footer"/>
            <w:spacing w:before="120" w:after="0"/>
            <w:jc w:val="left"/>
            <w:rPr>
              <w:rFonts w:ascii="Arial Narrow" w:hAnsi="Arial Narrow"/>
              <w:color w:val="808080" w:themeColor="background1" w:themeShade="80"/>
              <w:sz w:val="18"/>
              <w:szCs w:val="18"/>
            </w:rPr>
          </w:pPr>
          <w:r w:rsidRPr="00C3016A">
            <w:rPr>
              <w:rFonts w:ascii="Arial Narrow" w:hAnsi="Arial Narrow"/>
              <w:color w:val="7F7F7F" w:themeColor="text1" w:themeTint="80"/>
              <w:sz w:val="18"/>
              <w:szCs w:val="18"/>
              <w:lang w:val="en-GB"/>
            </w:rPr>
            <w:t xml:space="preserve">SDG Health indicators </w:t>
          </w:r>
          <w:r>
            <w:rPr>
              <w:rFonts w:ascii="Arial Narrow" w:hAnsi="Arial Narrow"/>
              <w:color w:val="7F7F7F" w:themeColor="text1" w:themeTint="80"/>
              <w:sz w:val="18"/>
              <w:szCs w:val="18"/>
              <w:lang w:val="en-GB"/>
            </w:rPr>
            <w:t xml:space="preserve">(Goal 3) </w:t>
          </w:r>
          <w:r w:rsidRPr="00C3016A">
            <w:rPr>
              <w:rFonts w:ascii="Arial Narrow" w:hAnsi="Arial Narrow"/>
              <w:color w:val="7F7F7F" w:themeColor="text1" w:themeTint="80"/>
              <w:sz w:val="18"/>
              <w:szCs w:val="18"/>
              <w:lang w:val="en-GB"/>
            </w:rPr>
            <w:t>metadata</w:t>
          </w:r>
          <w:r>
            <w:rPr>
              <w:rFonts w:ascii="Arial Narrow" w:hAnsi="Arial Narrow"/>
              <w:color w:val="7F7F7F" w:themeColor="text1" w:themeTint="80"/>
              <w:sz w:val="18"/>
              <w:szCs w:val="18"/>
              <w:lang w:val="en-GB"/>
            </w:rPr>
            <w:t xml:space="preserve"> | WHO, 13 May 2015</w:t>
          </w:r>
        </w:p>
      </w:tc>
      <w:tc>
        <w:tcPr>
          <w:tcW w:w="4927" w:type="dxa"/>
          <w:tcBorders>
            <w:top w:val="dotted" w:sz="4" w:space="0" w:color="808080" w:themeColor="background1" w:themeShade="80"/>
          </w:tcBorders>
        </w:tcPr>
        <w:p w:rsidR="00405F21" w:rsidRPr="00CB5AAE" w:rsidRDefault="00405F21" w:rsidP="00CB5AAE">
          <w:pPr>
            <w:pStyle w:val="Footer"/>
            <w:spacing w:before="120" w:after="0"/>
            <w:jc w:val="right"/>
            <w:rPr>
              <w:rFonts w:ascii="Arial Narrow" w:hAnsi="Arial Narrow"/>
              <w:color w:val="808080" w:themeColor="background1" w:themeShade="80"/>
              <w:sz w:val="18"/>
              <w:szCs w:val="18"/>
            </w:rPr>
          </w:pPr>
          <w:r w:rsidRPr="00CB5AAE">
            <w:rPr>
              <w:rFonts w:ascii="Arial Narrow" w:hAnsi="Arial Narrow"/>
              <w:color w:val="808080" w:themeColor="background1" w:themeShade="80"/>
              <w:sz w:val="18"/>
              <w:szCs w:val="18"/>
            </w:rPr>
            <w:t xml:space="preserve">Page </w:t>
          </w:r>
          <w:r w:rsidRPr="00CB5AAE">
            <w:rPr>
              <w:rFonts w:ascii="Arial Narrow" w:hAnsi="Arial Narrow"/>
              <w:b/>
              <w:color w:val="808080" w:themeColor="background1" w:themeShade="80"/>
              <w:sz w:val="18"/>
              <w:szCs w:val="18"/>
            </w:rPr>
            <w:fldChar w:fldCharType="begin"/>
          </w:r>
          <w:r w:rsidRPr="00CB5AAE">
            <w:rPr>
              <w:rFonts w:ascii="Arial Narrow" w:hAnsi="Arial Narrow"/>
              <w:b/>
              <w:color w:val="808080" w:themeColor="background1" w:themeShade="80"/>
              <w:sz w:val="18"/>
              <w:szCs w:val="18"/>
            </w:rPr>
            <w:instrText xml:space="preserve"> PAGE  \* Arabic  \* MERGEFORMAT </w:instrText>
          </w:r>
          <w:r w:rsidRPr="00CB5AAE">
            <w:rPr>
              <w:rFonts w:ascii="Arial Narrow" w:hAnsi="Arial Narrow"/>
              <w:b/>
              <w:color w:val="808080" w:themeColor="background1" w:themeShade="80"/>
              <w:sz w:val="18"/>
              <w:szCs w:val="18"/>
            </w:rPr>
            <w:fldChar w:fldCharType="separate"/>
          </w:r>
          <w:r>
            <w:rPr>
              <w:rFonts w:ascii="Arial Narrow" w:hAnsi="Arial Narrow"/>
              <w:b/>
              <w:noProof/>
              <w:color w:val="808080" w:themeColor="background1" w:themeShade="80"/>
              <w:sz w:val="18"/>
              <w:szCs w:val="18"/>
            </w:rPr>
            <w:t>1</w:t>
          </w:r>
          <w:r w:rsidRPr="00CB5AAE">
            <w:rPr>
              <w:rFonts w:ascii="Arial Narrow" w:hAnsi="Arial Narrow"/>
              <w:b/>
              <w:color w:val="808080" w:themeColor="background1" w:themeShade="80"/>
              <w:sz w:val="18"/>
              <w:szCs w:val="18"/>
            </w:rPr>
            <w:fldChar w:fldCharType="end"/>
          </w:r>
          <w:r w:rsidRPr="00CB5AAE">
            <w:rPr>
              <w:rFonts w:ascii="Arial Narrow" w:hAnsi="Arial Narrow"/>
              <w:color w:val="808080" w:themeColor="background1" w:themeShade="80"/>
              <w:sz w:val="18"/>
              <w:szCs w:val="18"/>
            </w:rPr>
            <w:t xml:space="preserve"> of </w:t>
          </w:r>
          <w:r w:rsidRPr="00CB5AAE">
            <w:rPr>
              <w:rFonts w:ascii="Arial Narrow" w:hAnsi="Arial Narrow"/>
              <w:b/>
              <w:color w:val="808080" w:themeColor="background1" w:themeShade="80"/>
              <w:sz w:val="18"/>
              <w:szCs w:val="18"/>
            </w:rPr>
            <w:fldChar w:fldCharType="begin"/>
          </w:r>
          <w:r w:rsidRPr="00CB5AAE">
            <w:rPr>
              <w:rFonts w:ascii="Arial Narrow" w:hAnsi="Arial Narrow"/>
              <w:b/>
              <w:color w:val="808080" w:themeColor="background1" w:themeShade="80"/>
              <w:sz w:val="18"/>
              <w:szCs w:val="18"/>
            </w:rPr>
            <w:instrText xml:space="preserve"> NUMPAGES  \* Arabic  \* MERGEFORMAT </w:instrText>
          </w:r>
          <w:r w:rsidRPr="00CB5AAE">
            <w:rPr>
              <w:rFonts w:ascii="Arial Narrow" w:hAnsi="Arial Narrow"/>
              <w:b/>
              <w:color w:val="808080" w:themeColor="background1" w:themeShade="80"/>
              <w:sz w:val="18"/>
              <w:szCs w:val="18"/>
            </w:rPr>
            <w:fldChar w:fldCharType="separate"/>
          </w:r>
          <w:r w:rsidR="00657DA1">
            <w:rPr>
              <w:rFonts w:ascii="Arial Narrow" w:hAnsi="Arial Narrow"/>
              <w:b/>
              <w:noProof/>
              <w:color w:val="808080" w:themeColor="background1" w:themeShade="80"/>
              <w:sz w:val="18"/>
              <w:szCs w:val="18"/>
            </w:rPr>
            <w:t>26</w:t>
          </w:r>
          <w:r w:rsidRPr="00CB5AAE">
            <w:rPr>
              <w:rFonts w:ascii="Arial Narrow" w:hAnsi="Arial Narrow"/>
              <w:b/>
              <w:color w:val="808080" w:themeColor="background1" w:themeShade="80"/>
              <w:sz w:val="18"/>
              <w:szCs w:val="18"/>
            </w:rPr>
            <w:fldChar w:fldCharType="end"/>
          </w:r>
        </w:p>
      </w:tc>
    </w:tr>
  </w:tbl>
  <w:p w:rsidR="00405F21" w:rsidRPr="00CB5AAE" w:rsidRDefault="00405F21" w:rsidP="00CB5AAE">
    <w:pPr>
      <w:pStyle w:val="Footer"/>
      <w:spacing w:after="0"/>
      <w:rPr>
        <w:rFonts w:ascii="Arial Narrow" w:hAnsi="Arial Narrow"/>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0EE" w:rsidRDefault="006D20EE" w:rsidP="00E51545">
      <w:pPr>
        <w:spacing w:after="0" w:line="240" w:lineRule="auto"/>
      </w:pPr>
      <w:r>
        <w:separator/>
      </w:r>
    </w:p>
  </w:footnote>
  <w:footnote w:type="continuationSeparator" w:id="0">
    <w:p w:rsidR="006D20EE" w:rsidRDefault="006D20EE" w:rsidP="00E515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21" w:rsidRPr="00277801" w:rsidRDefault="00405F21" w:rsidP="00277801">
    <w:pPr>
      <w:pStyle w:val="Header"/>
      <w:spacing w:after="120"/>
      <w:rPr>
        <w:rFonts w:ascii="Arial Narrow" w:hAnsi="Arial Narrow"/>
        <w:b/>
        <w:bCs/>
        <w:color w:val="808080" w:themeColor="background1" w:themeShade="80"/>
        <w:sz w:val="20"/>
        <w:szCs w:val="20"/>
        <w:lang w:val="en-GB"/>
      </w:rPr>
    </w:pPr>
    <w:r w:rsidRPr="00277801">
      <w:rPr>
        <w:rFonts w:ascii="Arial Narrow" w:hAnsi="Arial Narrow"/>
        <w:b/>
        <w:bCs/>
        <w:color w:val="808080" w:themeColor="background1" w:themeShade="80"/>
        <w:sz w:val="20"/>
        <w:szCs w:val="20"/>
        <w:lang w:val="en-GB"/>
      </w:rPr>
      <w:t>SDG Goal 3: Ensure healthy lives and promote well-being for all at all ages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11C13"/>
    <w:multiLevelType w:val="hybridMultilevel"/>
    <w:tmpl w:val="0148A8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3804A7E"/>
    <w:multiLevelType w:val="hybridMultilevel"/>
    <w:tmpl w:val="250ED940"/>
    <w:lvl w:ilvl="0" w:tplc="C79AD658">
      <w:start w:val="1"/>
      <w:numFmt w:val="bullet"/>
      <w:lvlText w:val=""/>
      <w:lvlJc w:val="left"/>
      <w:pPr>
        <w:ind w:left="720" w:hanging="360"/>
      </w:pPr>
      <w:rPr>
        <w:rFonts w:ascii="Symbol" w:hAnsi="Symbol" w:cs="Symbol" w:hint="default"/>
        <w:color w:val="548DD4" w:themeColor="text2" w:themeTint="99"/>
        <w:sz w:val="18"/>
        <w:szCs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461D82"/>
    <w:multiLevelType w:val="hybridMultilevel"/>
    <w:tmpl w:val="4100E922"/>
    <w:lvl w:ilvl="0" w:tplc="732CBE26">
      <w:numFmt w:val="bullet"/>
      <w:lvlText w:val="-"/>
      <w:lvlJc w:val="left"/>
      <w:pPr>
        <w:ind w:left="720" w:hanging="360"/>
      </w:pPr>
      <w:rPr>
        <w:rFonts w:ascii="Garamond" w:eastAsia="SimSun" w:hAnsi="Garamond"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9843616"/>
    <w:multiLevelType w:val="hybridMultilevel"/>
    <w:tmpl w:val="89A27EF8"/>
    <w:lvl w:ilvl="0" w:tplc="570E22FA">
      <w:start w:val="1"/>
      <w:numFmt w:val="bullet"/>
      <w:pStyle w:val="Bulletedlist"/>
      <w:lvlText w:val=""/>
      <w:lvlJc w:val="left"/>
      <w:pPr>
        <w:tabs>
          <w:tab w:val="num" w:pos="720"/>
        </w:tabs>
        <w:ind w:left="720" w:hanging="360"/>
      </w:pPr>
      <w:rPr>
        <w:rFonts w:ascii="Symbol" w:hAnsi="Symbol" w:cs="Symbol" w:hint="default"/>
        <w:color w:val="0082B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8CA29A6"/>
    <w:multiLevelType w:val="hybridMultilevel"/>
    <w:tmpl w:val="1A3E0C60"/>
    <w:lvl w:ilvl="0" w:tplc="C79AD658">
      <w:start w:val="1"/>
      <w:numFmt w:val="bullet"/>
      <w:lvlText w:val=""/>
      <w:lvlJc w:val="left"/>
      <w:pPr>
        <w:ind w:left="720" w:hanging="360"/>
      </w:pPr>
      <w:rPr>
        <w:rFonts w:ascii="Symbol" w:hAnsi="Symbol" w:cs="Symbol" w:hint="default"/>
        <w:color w:val="548DD4" w:themeColor="text2" w:themeTint="99"/>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A3180A"/>
    <w:multiLevelType w:val="hybridMultilevel"/>
    <w:tmpl w:val="C5A4B42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6663362A"/>
    <w:multiLevelType w:val="hybridMultilevel"/>
    <w:tmpl w:val="6C184FB8"/>
    <w:lvl w:ilvl="0" w:tplc="4B38F06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8014EF1"/>
    <w:multiLevelType w:val="hybridMultilevel"/>
    <w:tmpl w:val="779051A8"/>
    <w:lvl w:ilvl="0" w:tplc="C79AD658">
      <w:start w:val="1"/>
      <w:numFmt w:val="bullet"/>
      <w:lvlText w:val=""/>
      <w:lvlJc w:val="left"/>
      <w:pPr>
        <w:ind w:left="1074" w:hanging="360"/>
      </w:pPr>
      <w:rPr>
        <w:rFonts w:ascii="Symbol" w:hAnsi="Symbol" w:cs="Symbol" w:hint="default"/>
        <w:color w:val="548DD4" w:themeColor="text2" w:themeTint="99"/>
        <w:szCs w:val="36"/>
      </w:r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8">
    <w:nsid w:val="73181F82"/>
    <w:multiLevelType w:val="hybridMultilevel"/>
    <w:tmpl w:val="0FF8FDBC"/>
    <w:lvl w:ilvl="0" w:tplc="04090001">
      <w:start w:val="1"/>
      <w:numFmt w:val="bullet"/>
      <w:pStyle w:val="Table-bulletedli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6"/>
  </w:num>
  <w:num w:numId="5">
    <w:abstractNumId w:val="5"/>
  </w:num>
  <w:num w:numId="6">
    <w:abstractNumId w:val="0"/>
  </w:num>
  <w:num w:numId="7">
    <w:abstractNumId w:val="4"/>
  </w:num>
  <w:num w:numId="8">
    <w:abstractNumId w:val="1"/>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5"/>
  <w:hideSpellingErrors/>
  <w:hideGrammaticalErrors/>
  <w:proofState w:spelling="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545"/>
    <w:rsid w:val="00001A7B"/>
    <w:rsid w:val="00002365"/>
    <w:rsid w:val="00002632"/>
    <w:rsid w:val="00003BAA"/>
    <w:rsid w:val="00003C79"/>
    <w:rsid w:val="000040F0"/>
    <w:rsid w:val="00004242"/>
    <w:rsid w:val="000049DC"/>
    <w:rsid w:val="000054E2"/>
    <w:rsid w:val="000056ED"/>
    <w:rsid w:val="000066D1"/>
    <w:rsid w:val="00006998"/>
    <w:rsid w:val="00007B04"/>
    <w:rsid w:val="000108B0"/>
    <w:rsid w:val="00012859"/>
    <w:rsid w:val="00012C1C"/>
    <w:rsid w:val="00016B0B"/>
    <w:rsid w:val="00021E1D"/>
    <w:rsid w:val="0002312E"/>
    <w:rsid w:val="00023565"/>
    <w:rsid w:val="00026B38"/>
    <w:rsid w:val="0002727B"/>
    <w:rsid w:val="00032564"/>
    <w:rsid w:val="0003372B"/>
    <w:rsid w:val="000376BF"/>
    <w:rsid w:val="00037DE6"/>
    <w:rsid w:val="0004019A"/>
    <w:rsid w:val="00040AD9"/>
    <w:rsid w:val="00040EB7"/>
    <w:rsid w:val="00041304"/>
    <w:rsid w:val="00043508"/>
    <w:rsid w:val="00043D93"/>
    <w:rsid w:val="00044599"/>
    <w:rsid w:val="000448F0"/>
    <w:rsid w:val="00046E42"/>
    <w:rsid w:val="00047114"/>
    <w:rsid w:val="000471B3"/>
    <w:rsid w:val="00050061"/>
    <w:rsid w:val="00050934"/>
    <w:rsid w:val="00051568"/>
    <w:rsid w:val="00051862"/>
    <w:rsid w:val="00054F7A"/>
    <w:rsid w:val="0005551F"/>
    <w:rsid w:val="000579DE"/>
    <w:rsid w:val="00061257"/>
    <w:rsid w:val="00061D7F"/>
    <w:rsid w:val="00062CA1"/>
    <w:rsid w:val="0006491C"/>
    <w:rsid w:val="00064CFD"/>
    <w:rsid w:val="00070C06"/>
    <w:rsid w:val="00071035"/>
    <w:rsid w:val="000717DD"/>
    <w:rsid w:val="00071FE5"/>
    <w:rsid w:val="000723CF"/>
    <w:rsid w:val="00072E13"/>
    <w:rsid w:val="00072EC4"/>
    <w:rsid w:val="00075565"/>
    <w:rsid w:val="00075942"/>
    <w:rsid w:val="00076593"/>
    <w:rsid w:val="00076DFB"/>
    <w:rsid w:val="0007710F"/>
    <w:rsid w:val="00081177"/>
    <w:rsid w:val="00081371"/>
    <w:rsid w:val="000834E5"/>
    <w:rsid w:val="0008389E"/>
    <w:rsid w:val="00083B2B"/>
    <w:rsid w:val="000840F6"/>
    <w:rsid w:val="0008482F"/>
    <w:rsid w:val="00084B45"/>
    <w:rsid w:val="00084C81"/>
    <w:rsid w:val="0008621D"/>
    <w:rsid w:val="000872B6"/>
    <w:rsid w:val="00090C63"/>
    <w:rsid w:val="000910CA"/>
    <w:rsid w:val="000910FB"/>
    <w:rsid w:val="0009356D"/>
    <w:rsid w:val="00094233"/>
    <w:rsid w:val="00094506"/>
    <w:rsid w:val="000959ED"/>
    <w:rsid w:val="000A2BA7"/>
    <w:rsid w:val="000A3BAF"/>
    <w:rsid w:val="000A418D"/>
    <w:rsid w:val="000A4BCA"/>
    <w:rsid w:val="000A5D95"/>
    <w:rsid w:val="000A74F4"/>
    <w:rsid w:val="000A7AFE"/>
    <w:rsid w:val="000A7F0C"/>
    <w:rsid w:val="000B3DDE"/>
    <w:rsid w:val="000B521C"/>
    <w:rsid w:val="000B6119"/>
    <w:rsid w:val="000B66C2"/>
    <w:rsid w:val="000B6941"/>
    <w:rsid w:val="000C0568"/>
    <w:rsid w:val="000C0A67"/>
    <w:rsid w:val="000C2891"/>
    <w:rsid w:val="000C3065"/>
    <w:rsid w:val="000C4954"/>
    <w:rsid w:val="000C4975"/>
    <w:rsid w:val="000C5734"/>
    <w:rsid w:val="000C6BF9"/>
    <w:rsid w:val="000C7552"/>
    <w:rsid w:val="000D0A69"/>
    <w:rsid w:val="000D2B79"/>
    <w:rsid w:val="000D3FB8"/>
    <w:rsid w:val="000D4ABB"/>
    <w:rsid w:val="000D53B6"/>
    <w:rsid w:val="000D54D1"/>
    <w:rsid w:val="000D5886"/>
    <w:rsid w:val="000D63DB"/>
    <w:rsid w:val="000D776C"/>
    <w:rsid w:val="000D7D91"/>
    <w:rsid w:val="000E0389"/>
    <w:rsid w:val="000E1260"/>
    <w:rsid w:val="000E1653"/>
    <w:rsid w:val="000E18BA"/>
    <w:rsid w:val="000E3AA2"/>
    <w:rsid w:val="000E631C"/>
    <w:rsid w:val="000F0264"/>
    <w:rsid w:val="000F1103"/>
    <w:rsid w:val="000F12A6"/>
    <w:rsid w:val="000F1315"/>
    <w:rsid w:val="000F149E"/>
    <w:rsid w:val="000F230F"/>
    <w:rsid w:val="000F2636"/>
    <w:rsid w:val="000F2787"/>
    <w:rsid w:val="000F3566"/>
    <w:rsid w:val="000F4242"/>
    <w:rsid w:val="000F480E"/>
    <w:rsid w:val="000F552F"/>
    <w:rsid w:val="000F58D5"/>
    <w:rsid w:val="000F5DA2"/>
    <w:rsid w:val="000F67F2"/>
    <w:rsid w:val="000F68F7"/>
    <w:rsid w:val="000F77C1"/>
    <w:rsid w:val="0010166E"/>
    <w:rsid w:val="001028E7"/>
    <w:rsid w:val="00102CCA"/>
    <w:rsid w:val="00102FF7"/>
    <w:rsid w:val="00104019"/>
    <w:rsid w:val="001040DE"/>
    <w:rsid w:val="001049C2"/>
    <w:rsid w:val="001050D4"/>
    <w:rsid w:val="001053EB"/>
    <w:rsid w:val="00105DAE"/>
    <w:rsid w:val="00105F29"/>
    <w:rsid w:val="0010608D"/>
    <w:rsid w:val="00106593"/>
    <w:rsid w:val="00107348"/>
    <w:rsid w:val="001109E3"/>
    <w:rsid w:val="00110F51"/>
    <w:rsid w:val="00111071"/>
    <w:rsid w:val="001125A4"/>
    <w:rsid w:val="0011339C"/>
    <w:rsid w:val="001133F8"/>
    <w:rsid w:val="001134CF"/>
    <w:rsid w:val="00114A23"/>
    <w:rsid w:val="00116649"/>
    <w:rsid w:val="00116960"/>
    <w:rsid w:val="00117C11"/>
    <w:rsid w:val="00117DAB"/>
    <w:rsid w:val="001200A3"/>
    <w:rsid w:val="00121D9B"/>
    <w:rsid w:val="0012307D"/>
    <w:rsid w:val="00123381"/>
    <w:rsid w:val="00123594"/>
    <w:rsid w:val="00123E2C"/>
    <w:rsid w:val="00124BEC"/>
    <w:rsid w:val="0012585F"/>
    <w:rsid w:val="00125CBE"/>
    <w:rsid w:val="001266AF"/>
    <w:rsid w:val="00126969"/>
    <w:rsid w:val="00127654"/>
    <w:rsid w:val="00130F36"/>
    <w:rsid w:val="00131A15"/>
    <w:rsid w:val="00132546"/>
    <w:rsid w:val="00132CC9"/>
    <w:rsid w:val="0013437A"/>
    <w:rsid w:val="0013571D"/>
    <w:rsid w:val="00135CB6"/>
    <w:rsid w:val="00136329"/>
    <w:rsid w:val="00137ADC"/>
    <w:rsid w:val="00137ED8"/>
    <w:rsid w:val="00140AB9"/>
    <w:rsid w:val="00141235"/>
    <w:rsid w:val="00142540"/>
    <w:rsid w:val="00142790"/>
    <w:rsid w:val="00142CE2"/>
    <w:rsid w:val="00143A23"/>
    <w:rsid w:val="00143DD1"/>
    <w:rsid w:val="00145814"/>
    <w:rsid w:val="00146094"/>
    <w:rsid w:val="00150EB7"/>
    <w:rsid w:val="001511F6"/>
    <w:rsid w:val="00152AAE"/>
    <w:rsid w:val="00153CD5"/>
    <w:rsid w:val="0015666B"/>
    <w:rsid w:val="001569EB"/>
    <w:rsid w:val="00157A76"/>
    <w:rsid w:val="0016091C"/>
    <w:rsid w:val="00160A31"/>
    <w:rsid w:val="001615D9"/>
    <w:rsid w:val="001618FF"/>
    <w:rsid w:val="00162F24"/>
    <w:rsid w:val="001655C4"/>
    <w:rsid w:val="00165898"/>
    <w:rsid w:val="001658D9"/>
    <w:rsid w:val="00165F3E"/>
    <w:rsid w:val="00170D0A"/>
    <w:rsid w:val="001724EC"/>
    <w:rsid w:val="001730E4"/>
    <w:rsid w:val="00175E12"/>
    <w:rsid w:val="00176782"/>
    <w:rsid w:val="00176B46"/>
    <w:rsid w:val="00177206"/>
    <w:rsid w:val="00177C99"/>
    <w:rsid w:val="001808A3"/>
    <w:rsid w:val="00180C7E"/>
    <w:rsid w:val="00181DC3"/>
    <w:rsid w:val="001824F7"/>
    <w:rsid w:val="001836BF"/>
    <w:rsid w:val="0018419C"/>
    <w:rsid w:val="00191B90"/>
    <w:rsid w:val="00192141"/>
    <w:rsid w:val="00193A2C"/>
    <w:rsid w:val="0019407D"/>
    <w:rsid w:val="00194637"/>
    <w:rsid w:val="001959C2"/>
    <w:rsid w:val="00196384"/>
    <w:rsid w:val="00197C2B"/>
    <w:rsid w:val="001A0E4E"/>
    <w:rsid w:val="001A0E91"/>
    <w:rsid w:val="001A18F6"/>
    <w:rsid w:val="001A634F"/>
    <w:rsid w:val="001A79FF"/>
    <w:rsid w:val="001B0594"/>
    <w:rsid w:val="001B0F2E"/>
    <w:rsid w:val="001B1450"/>
    <w:rsid w:val="001B1545"/>
    <w:rsid w:val="001B1785"/>
    <w:rsid w:val="001B1B2D"/>
    <w:rsid w:val="001B1E91"/>
    <w:rsid w:val="001B2494"/>
    <w:rsid w:val="001B2AA1"/>
    <w:rsid w:val="001B6B59"/>
    <w:rsid w:val="001B6FEA"/>
    <w:rsid w:val="001C01E4"/>
    <w:rsid w:val="001C0A60"/>
    <w:rsid w:val="001C0D11"/>
    <w:rsid w:val="001C1A14"/>
    <w:rsid w:val="001C2056"/>
    <w:rsid w:val="001C221A"/>
    <w:rsid w:val="001C365C"/>
    <w:rsid w:val="001C73C6"/>
    <w:rsid w:val="001C7883"/>
    <w:rsid w:val="001D0C28"/>
    <w:rsid w:val="001D2058"/>
    <w:rsid w:val="001D2706"/>
    <w:rsid w:val="001D5262"/>
    <w:rsid w:val="001D53F0"/>
    <w:rsid w:val="001D72D1"/>
    <w:rsid w:val="001D748B"/>
    <w:rsid w:val="001E0005"/>
    <w:rsid w:val="001E0412"/>
    <w:rsid w:val="001E18C3"/>
    <w:rsid w:val="001E1CE4"/>
    <w:rsid w:val="001E2568"/>
    <w:rsid w:val="001E64BA"/>
    <w:rsid w:val="001E64EA"/>
    <w:rsid w:val="001E659F"/>
    <w:rsid w:val="001E71D5"/>
    <w:rsid w:val="001F0785"/>
    <w:rsid w:val="001F0882"/>
    <w:rsid w:val="001F50E8"/>
    <w:rsid w:val="001F5D38"/>
    <w:rsid w:val="001F6281"/>
    <w:rsid w:val="001F6FB4"/>
    <w:rsid w:val="00203608"/>
    <w:rsid w:val="00203611"/>
    <w:rsid w:val="00207263"/>
    <w:rsid w:val="002127ED"/>
    <w:rsid w:val="00212C2B"/>
    <w:rsid w:val="00215A77"/>
    <w:rsid w:val="002167D4"/>
    <w:rsid w:val="002177F9"/>
    <w:rsid w:val="00217C25"/>
    <w:rsid w:val="002226F3"/>
    <w:rsid w:val="00223D0F"/>
    <w:rsid w:val="00224ACA"/>
    <w:rsid w:val="00225822"/>
    <w:rsid w:val="0022632B"/>
    <w:rsid w:val="00226F6D"/>
    <w:rsid w:val="0022753C"/>
    <w:rsid w:val="00227BE9"/>
    <w:rsid w:val="002301BF"/>
    <w:rsid w:val="00232009"/>
    <w:rsid w:val="002320D3"/>
    <w:rsid w:val="0023444E"/>
    <w:rsid w:val="00235877"/>
    <w:rsid w:val="00235BCD"/>
    <w:rsid w:val="00236112"/>
    <w:rsid w:val="00236A96"/>
    <w:rsid w:val="00236FE9"/>
    <w:rsid w:val="00237463"/>
    <w:rsid w:val="00237AC5"/>
    <w:rsid w:val="00240BAA"/>
    <w:rsid w:val="002412B6"/>
    <w:rsid w:val="002418EA"/>
    <w:rsid w:val="00245E4E"/>
    <w:rsid w:val="00246222"/>
    <w:rsid w:val="002463FF"/>
    <w:rsid w:val="00251846"/>
    <w:rsid w:val="00253301"/>
    <w:rsid w:val="002535D1"/>
    <w:rsid w:val="002542CF"/>
    <w:rsid w:val="00254A73"/>
    <w:rsid w:val="00254C15"/>
    <w:rsid w:val="00254E47"/>
    <w:rsid w:val="002574AA"/>
    <w:rsid w:val="00260DA0"/>
    <w:rsid w:val="00263C03"/>
    <w:rsid w:val="00263E06"/>
    <w:rsid w:val="002653FE"/>
    <w:rsid w:val="00266F16"/>
    <w:rsid w:val="002673DB"/>
    <w:rsid w:val="00267C26"/>
    <w:rsid w:val="00270757"/>
    <w:rsid w:val="0027344A"/>
    <w:rsid w:val="0027371D"/>
    <w:rsid w:val="00273CC5"/>
    <w:rsid w:val="00273EBA"/>
    <w:rsid w:val="002750CD"/>
    <w:rsid w:val="00275CFC"/>
    <w:rsid w:val="00276B38"/>
    <w:rsid w:val="00277304"/>
    <w:rsid w:val="00277801"/>
    <w:rsid w:val="002779CF"/>
    <w:rsid w:val="00281FCE"/>
    <w:rsid w:val="00283050"/>
    <w:rsid w:val="00283C23"/>
    <w:rsid w:val="00283D89"/>
    <w:rsid w:val="00283F0C"/>
    <w:rsid w:val="00284CEC"/>
    <w:rsid w:val="00284D0F"/>
    <w:rsid w:val="002870F6"/>
    <w:rsid w:val="00287833"/>
    <w:rsid w:val="00290165"/>
    <w:rsid w:val="00290492"/>
    <w:rsid w:val="002907BD"/>
    <w:rsid w:val="002919FB"/>
    <w:rsid w:val="00292539"/>
    <w:rsid w:val="0029258D"/>
    <w:rsid w:val="00293906"/>
    <w:rsid w:val="00294FCA"/>
    <w:rsid w:val="0029594A"/>
    <w:rsid w:val="00296545"/>
    <w:rsid w:val="00296575"/>
    <w:rsid w:val="002A080C"/>
    <w:rsid w:val="002A0B96"/>
    <w:rsid w:val="002A2AAF"/>
    <w:rsid w:val="002A5BD5"/>
    <w:rsid w:val="002A79D5"/>
    <w:rsid w:val="002B1E9B"/>
    <w:rsid w:val="002B29F1"/>
    <w:rsid w:val="002B2AEF"/>
    <w:rsid w:val="002B2B29"/>
    <w:rsid w:val="002B3E52"/>
    <w:rsid w:val="002B53A2"/>
    <w:rsid w:val="002B57CD"/>
    <w:rsid w:val="002B5DEF"/>
    <w:rsid w:val="002B6685"/>
    <w:rsid w:val="002B7D29"/>
    <w:rsid w:val="002B7E9B"/>
    <w:rsid w:val="002C0B3E"/>
    <w:rsid w:val="002C1350"/>
    <w:rsid w:val="002C1BFF"/>
    <w:rsid w:val="002C1D39"/>
    <w:rsid w:val="002C20CA"/>
    <w:rsid w:val="002C344E"/>
    <w:rsid w:val="002C4C8D"/>
    <w:rsid w:val="002C5BDB"/>
    <w:rsid w:val="002C6160"/>
    <w:rsid w:val="002C6D25"/>
    <w:rsid w:val="002D1B19"/>
    <w:rsid w:val="002D5396"/>
    <w:rsid w:val="002D5647"/>
    <w:rsid w:val="002D7C7D"/>
    <w:rsid w:val="002E09BC"/>
    <w:rsid w:val="002E0D15"/>
    <w:rsid w:val="002E10DC"/>
    <w:rsid w:val="002E1378"/>
    <w:rsid w:val="002E22AB"/>
    <w:rsid w:val="002E4131"/>
    <w:rsid w:val="002E541D"/>
    <w:rsid w:val="002E573D"/>
    <w:rsid w:val="002E5E10"/>
    <w:rsid w:val="002F0760"/>
    <w:rsid w:val="002F36B9"/>
    <w:rsid w:val="002F4143"/>
    <w:rsid w:val="002F68D8"/>
    <w:rsid w:val="002F6926"/>
    <w:rsid w:val="002F76B1"/>
    <w:rsid w:val="0030099B"/>
    <w:rsid w:val="00300D3E"/>
    <w:rsid w:val="00301F51"/>
    <w:rsid w:val="003031F4"/>
    <w:rsid w:val="00304E0E"/>
    <w:rsid w:val="0030672C"/>
    <w:rsid w:val="003074BF"/>
    <w:rsid w:val="003074D9"/>
    <w:rsid w:val="003124E8"/>
    <w:rsid w:val="0031453D"/>
    <w:rsid w:val="003172DF"/>
    <w:rsid w:val="00317576"/>
    <w:rsid w:val="003175F1"/>
    <w:rsid w:val="003204E3"/>
    <w:rsid w:val="00320CC7"/>
    <w:rsid w:val="003210FC"/>
    <w:rsid w:val="00321150"/>
    <w:rsid w:val="00323359"/>
    <w:rsid w:val="00323831"/>
    <w:rsid w:val="003271C2"/>
    <w:rsid w:val="00327E9A"/>
    <w:rsid w:val="00331B48"/>
    <w:rsid w:val="0033320F"/>
    <w:rsid w:val="00333644"/>
    <w:rsid w:val="00333DFC"/>
    <w:rsid w:val="0033433F"/>
    <w:rsid w:val="00334558"/>
    <w:rsid w:val="00334945"/>
    <w:rsid w:val="00335454"/>
    <w:rsid w:val="00335586"/>
    <w:rsid w:val="00335967"/>
    <w:rsid w:val="00337020"/>
    <w:rsid w:val="00342CD7"/>
    <w:rsid w:val="003430CF"/>
    <w:rsid w:val="0034415D"/>
    <w:rsid w:val="00344D26"/>
    <w:rsid w:val="003453B4"/>
    <w:rsid w:val="00346612"/>
    <w:rsid w:val="00350A35"/>
    <w:rsid w:val="003516A5"/>
    <w:rsid w:val="00352AAD"/>
    <w:rsid w:val="00353A30"/>
    <w:rsid w:val="00353CFA"/>
    <w:rsid w:val="00354F00"/>
    <w:rsid w:val="00355910"/>
    <w:rsid w:val="003563C6"/>
    <w:rsid w:val="00356C2C"/>
    <w:rsid w:val="0036016A"/>
    <w:rsid w:val="0036162B"/>
    <w:rsid w:val="00362920"/>
    <w:rsid w:val="00362B92"/>
    <w:rsid w:val="003634FB"/>
    <w:rsid w:val="00364650"/>
    <w:rsid w:val="00365B12"/>
    <w:rsid w:val="00366841"/>
    <w:rsid w:val="00366842"/>
    <w:rsid w:val="00367BE0"/>
    <w:rsid w:val="003702A9"/>
    <w:rsid w:val="00370370"/>
    <w:rsid w:val="0037173B"/>
    <w:rsid w:val="00372639"/>
    <w:rsid w:val="00372F48"/>
    <w:rsid w:val="003741B2"/>
    <w:rsid w:val="00374A98"/>
    <w:rsid w:val="00376CD6"/>
    <w:rsid w:val="003772E2"/>
    <w:rsid w:val="0038102E"/>
    <w:rsid w:val="00381683"/>
    <w:rsid w:val="0038312F"/>
    <w:rsid w:val="003839D8"/>
    <w:rsid w:val="00384214"/>
    <w:rsid w:val="00385390"/>
    <w:rsid w:val="0038633D"/>
    <w:rsid w:val="00387022"/>
    <w:rsid w:val="0038717C"/>
    <w:rsid w:val="00387AB0"/>
    <w:rsid w:val="00390C54"/>
    <w:rsid w:val="00391031"/>
    <w:rsid w:val="003918AA"/>
    <w:rsid w:val="003946F9"/>
    <w:rsid w:val="00395427"/>
    <w:rsid w:val="00395A67"/>
    <w:rsid w:val="00396528"/>
    <w:rsid w:val="00396FF7"/>
    <w:rsid w:val="003976F5"/>
    <w:rsid w:val="003A0884"/>
    <w:rsid w:val="003A09EF"/>
    <w:rsid w:val="003A139B"/>
    <w:rsid w:val="003A1BA5"/>
    <w:rsid w:val="003A32AA"/>
    <w:rsid w:val="003A3375"/>
    <w:rsid w:val="003A39E9"/>
    <w:rsid w:val="003A42FB"/>
    <w:rsid w:val="003A44C7"/>
    <w:rsid w:val="003A4747"/>
    <w:rsid w:val="003A4834"/>
    <w:rsid w:val="003A4942"/>
    <w:rsid w:val="003A6E43"/>
    <w:rsid w:val="003A7DCD"/>
    <w:rsid w:val="003B0466"/>
    <w:rsid w:val="003B04CF"/>
    <w:rsid w:val="003B0A38"/>
    <w:rsid w:val="003B3795"/>
    <w:rsid w:val="003B42E5"/>
    <w:rsid w:val="003B656F"/>
    <w:rsid w:val="003B687A"/>
    <w:rsid w:val="003C255F"/>
    <w:rsid w:val="003C2A6C"/>
    <w:rsid w:val="003C2B18"/>
    <w:rsid w:val="003C32C6"/>
    <w:rsid w:val="003C3F6A"/>
    <w:rsid w:val="003C4450"/>
    <w:rsid w:val="003C763A"/>
    <w:rsid w:val="003C7E03"/>
    <w:rsid w:val="003D1503"/>
    <w:rsid w:val="003D24AE"/>
    <w:rsid w:val="003D36FB"/>
    <w:rsid w:val="003D39D6"/>
    <w:rsid w:val="003E036D"/>
    <w:rsid w:val="003E11AF"/>
    <w:rsid w:val="003E1924"/>
    <w:rsid w:val="003E3213"/>
    <w:rsid w:val="003E3A30"/>
    <w:rsid w:val="003E3F3F"/>
    <w:rsid w:val="003E4796"/>
    <w:rsid w:val="003E47A9"/>
    <w:rsid w:val="003E5220"/>
    <w:rsid w:val="003E54B4"/>
    <w:rsid w:val="003E5A08"/>
    <w:rsid w:val="003E649C"/>
    <w:rsid w:val="003E68F7"/>
    <w:rsid w:val="003E7C23"/>
    <w:rsid w:val="003F0E9F"/>
    <w:rsid w:val="003F1105"/>
    <w:rsid w:val="003F243E"/>
    <w:rsid w:val="003F3765"/>
    <w:rsid w:val="003F38AB"/>
    <w:rsid w:val="003F5416"/>
    <w:rsid w:val="003F573A"/>
    <w:rsid w:val="003F5D36"/>
    <w:rsid w:val="003F7B68"/>
    <w:rsid w:val="004022FF"/>
    <w:rsid w:val="004027B3"/>
    <w:rsid w:val="004033F0"/>
    <w:rsid w:val="00405662"/>
    <w:rsid w:val="00405F21"/>
    <w:rsid w:val="0040603D"/>
    <w:rsid w:val="004107E0"/>
    <w:rsid w:val="00410816"/>
    <w:rsid w:val="00411D66"/>
    <w:rsid w:val="00414151"/>
    <w:rsid w:val="00416AF7"/>
    <w:rsid w:val="00416C08"/>
    <w:rsid w:val="00416ED1"/>
    <w:rsid w:val="00417411"/>
    <w:rsid w:val="00421AE7"/>
    <w:rsid w:val="00421DED"/>
    <w:rsid w:val="00422772"/>
    <w:rsid w:val="00423023"/>
    <w:rsid w:val="00423F1E"/>
    <w:rsid w:val="00424656"/>
    <w:rsid w:val="004253D6"/>
    <w:rsid w:val="00425CAE"/>
    <w:rsid w:val="00425D56"/>
    <w:rsid w:val="00426248"/>
    <w:rsid w:val="00426CC2"/>
    <w:rsid w:val="0042716C"/>
    <w:rsid w:val="00427771"/>
    <w:rsid w:val="00427869"/>
    <w:rsid w:val="00427FDD"/>
    <w:rsid w:val="004304B3"/>
    <w:rsid w:val="00430F78"/>
    <w:rsid w:val="004326C3"/>
    <w:rsid w:val="004327BD"/>
    <w:rsid w:val="004348D5"/>
    <w:rsid w:val="00435160"/>
    <w:rsid w:val="004353FB"/>
    <w:rsid w:val="0043677C"/>
    <w:rsid w:val="004369F5"/>
    <w:rsid w:val="00436AC8"/>
    <w:rsid w:val="00436BDF"/>
    <w:rsid w:val="004410EF"/>
    <w:rsid w:val="00442504"/>
    <w:rsid w:val="00443DF6"/>
    <w:rsid w:val="004445BC"/>
    <w:rsid w:val="004446D1"/>
    <w:rsid w:val="00444E68"/>
    <w:rsid w:val="00445E1B"/>
    <w:rsid w:val="00445EDF"/>
    <w:rsid w:val="00447CA5"/>
    <w:rsid w:val="004502A2"/>
    <w:rsid w:val="00450851"/>
    <w:rsid w:val="0045087D"/>
    <w:rsid w:val="00451601"/>
    <w:rsid w:val="00451D52"/>
    <w:rsid w:val="004524FE"/>
    <w:rsid w:val="00452611"/>
    <w:rsid w:val="004528D9"/>
    <w:rsid w:val="0045337D"/>
    <w:rsid w:val="004541D7"/>
    <w:rsid w:val="0045430E"/>
    <w:rsid w:val="00454AC7"/>
    <w:rsid w:val="00455038"/>
    <w:rsid w:val="004561BE"/>
    <w:rsid w:val="004565CB"/>
    <w:rsid w:val="00456801"/>
    <w:rsid w:val="00456CFA"/>
    <w:rsid w:val="00456D2B"/>
    <w:rsid w:val="00457D26"/>
    <w:rsid w:val="00460AFB"/>
    <w:rsid w:val="00460FDD"/>
    <w:rsid w:val="00461196"/>
    <w:rsid w:val="004612CB"/>
    <w:rsid w:val="0046213A"/>
    <w:rsid w:val="00462FD3"/>
    <w:rsid w:val="00463350"/>
    <w:rsid w:val="004640A4"/>
    <w:rsid w:val="0046459C"/>
    <w:rsid w:val="00465690"/>
    <w:rsid w:val="00465D16"/>
    <w:rsid w:val="00467001"/>
    <w:rsid w:val="004671B3"/>
    <w:rsid w:val="00467C09"/>
    <w:rsid w:val="00467E32"/>
    <w:rsid w:val="00470969"/>
    <w:rsid w:val="00470B96"/>
    <w:rsid w:val="00472F21"/>
    <w:rsid w:val="00473FF5"/>
    <w:rsid w:val="0047447C"/>
    <w:rsid w:val="00474699"/>
    <w:rsid w:val="004746B8"/>
    <w:rsid w:val="00474FAC"/>
    <w:rsid w:val="004751A2"/>
    <w:rsid w:val="004755A6"/>
    <w:rsid w:val="0047619F"/>
    <w:rsid w:val="004772F8"/>
    <w:rsid w:val="00477330"/>
    <w:rsid w:val="00480359"/>
    <w:rsid w:val="00482149"/>
    <w:rsid w:val="004825FD"/>
    <w:rsid w:val="00483431"/>
    <w:rsid w:val="0048391A"/>
    <w:rsid w:val="00483985"/>
    <w:rsid w:val="00483BD0"/>
    <w:rsid w:val="00485D8D"/>
    <w:rsid w:val="00486BA3"/>
    <w:rsid w:val="0048708E"/>
    <w:rsid w:val="004872EC"/>
    <w:rsid w:val="00490127"/>
    <w:rsid w:val="00492A2A"/>
    <w:rsid w:val="004937DC"/>
    <w:rsid w:val="0049469C"/>
    <w:rsid w:val="0049519A"/>
    <w:rsid w:val="0049526E"/>
    <w:rsid w:val="00497936"/>
    <w:rsid w:val="004A333F"/>
    <w:rsid w:val="004A368D"/>
    <w:rsid w:val="004B19DE"/>
    <w:rsid w:val="004B1BF0"/>
    <w:rsid w:val="004B1C02"/>
    <w:rsid w:val="004B205C"/>
    <w:rsid w:val="004B2BFE"/>
    <w:rsid w:val="004B50D2"/>
    <w:rsid w:val="004B75D8"/>
    <w:rsid w:val="004C1235"/>
    <w:rsid w:val="004C12C3"/>
    <w:rsid w:val="004C14DB"/>
    <w:rsid w:val="004C1681"/>
    <w:rsid w:val="004C3E23"/>
    <w:rsid w:val="004C4600"/>
    <w:rsid w:val="004C48FF"/>
    <w:rsid w:val="004C5DA5"/>
    <w:rsid w:val="004C6720"/>
    <w:rsid w:val="004C7466"/>
    <w:rsid w:val="004D0719"/>
    <w:rsid w:val="004D1D19"/>
    <w:rsid w:val="004D5138"/>
    <w:rsid w:val="004D5AEC"/>
    <w:rsid w:val="004D5EBA"/>
    <w:rsid w:val="004D64F6"/>
    <w:rsid w:val="004E0043"/>
    <w:rsid w:val="004E0C09"/>
    <w:rsid w:val="004E370C"/>
    <w:rsid w:val="004E40B0"/>
    <w:rsid w:val="004E41EA"/>
    <w:rsid w:val="004E5374"/>
    <w:rsid w:val="004E6806"/>
    <w:rsid w:val="004E7996"/>
    <w:rsid w:val="004F0EE6"/>
    <w:rsid w:val="004F154B"/>
    <w:rsid w:val="004F522A"/>
    <w:rsid w:val="004F5C17"/>
    <w:rsid w:val="005016B8"/>
    <w:rsid w:val="00503414"/>
    <w:rsid w:val="00504391"/>
    <w:rsid w:val="00504691"/>
    <w:rsid w:val="0050495B"/>
    <w:rsid w:val="00504A89"/>
    <w:rsid w:val="005056CF"/>
    <w:rsid w:val="00507980"/>
    <w:rsid w:val="00510C49"/>
    <w:rsid w:val="005132E2"/>
    <w:rsid w:val="00514C8C"/>
    <w:rsid w:val="00515C0D"/>
    <w:rsid w:val="00516ADB"/>
    <w:rsid w:val="00516B2F"/>
    <w:rsid w:val="00517332"/>
    <w:rsid w:val="00517629"/>
    <w:rsid w:val="00517ADE"/>
    <w:rsid w:val="0052209F"/>
    <w:rsid w:val="00522602"/>
    <w:rsid w:val="00522D93"/>
    <w:rsid w:val="005242A6"/>
    <w:rsid w:val="00525F05"/>
    <w:rsid w:val="005272A8"/>
    <w:rsid w:val="00527BEE"/>
    <w:rsid w:val="00530DDC"/>
    <w:rsid w:val="00531B26"/>
    <w:rsid w:val="00532000"/>
    <w:rsid w:val="00532C88"/>
    <w:rsid w:val="005347E6"/>
    <w:rsid w:val="005355BE"/>
    <w:rsid w:val="0053654E"/>
    <w:rsid w:val="00536E7C"/>
    <w:rsid w:val="00537A18"/>
    <w:rsid w:val="00540171"/>
    <w:rsid w:val="00542D55"/>
    <w:rsid w:val="00543710"/>
    <w:rsid w:val="0054388D"/>
    <w:rsid w:val="00543BD3"/>
    <w:rsid w:val="0054591A"/>
    <w:rsid w:val="005462E7"/>
    <w:rsid w:val="00553ECB"/>
    <w:rsid w:val="00555C24"/>
    <w:rsid w:val="00556B9A"/>
    <w:rsid w:val="00556D9C"/>
    <w:rsid w:val="005573CB"/>
    <w:rsid w:val="00557590"/>
    <w:rsid w:val="005579A7"/>
    <w:rsid w:val="005601D7"/>
    <w:rsid w:val="005602AF"/>
    <w:rsid w:val="00560731"/>
    <w:rsid w:val="0056160E"/>
    <w:rsid w:val="00561969"/>
    <w:rsid w:val="005619FD"/>
    <w:rsid w:val="0056413E"/>
    <w:rsid w:val="0056428B"/>
    <w:rsid w:val="00564E39"/>
    <w:rsid w:val="0056608A"/>
    <w:rsid w:val="00566A54"/>
    <w:rsid w:val="00566D8D"/>
    <w:rsid w:val="0056772E"/>
    <w:rsid w:val="00571386"/>
    <w:rsid w:val="0057215A"/>
    <w:rsid w:val="005721FA"/>
    <w:rsid w:val="005726B6"/>
    <w:rsid w:val="00572B8C"/>
    <w:rsid w:val="0057474F"/>
    <w:rsid w:val="005747D0"/>
    <w:rsid w:val="0057522D"/>
    <w:rsid w:val="00575A13"/>
    <w:rsid w:val="00576715"/>
    <w:rsid w:val="0057693B"/>
    <w:rsid w:val="00576ADE"/>
    <w:rsid w:val="00576EF4"/>
    <w:rsid w:val="00577403"/>
    <w:rsid w:val="00580E87"/>
    <w:rsid w:val="00581484"/>
    <w:rsid w:val="00582D96"/>
    <w:rsid w:val="0058344C"/>
    <w:rsid w:val="0058391E"/>
    <w:rsid w:val="00583A49"/>
    <w:rsid w:val="00584A55"/>
    <w:rsid w:val="00587A2F"/>
    <w:rsid w:val="00590443"/>
    <w:rsid w:val="00591286"/>
    <w:rsid w:val="005927D0"/>
    <w:rsid w:val="00596184"/>
    <w:rsid w:val="005A0C97"/>
    <w:rsid w:val="005A289F"/>
    <w:rsid w:val="005A28FF"/>
    <w:rsid w:val="005A2C9D"/>
    <w:rsid w:val="005A3206"/>
    <w:rsid w:val="005A3C5A"/>
    <w:rsid w:val="005A53E7"/>
    <w:rsid w:val="005A5C83"/>
    <w:rsid w:val="005A66C6"/>
    <w:rsid w:val="005B0F31"/>
    <w:rsid w:val="005B0F99"/>
    <w:rsid w:val="005B1357"/>
    <w:rsid w:val="005B1885"/>
    <w:rsid w:val="005B3D26"/>
    <w:rsid w:val="005B5069"/>
    <w:rsid w:val="005B6416"/>
    <w:rsid w:val="005B657E"/>
    <w:rsid w:val="005B6764"/>
    <w:rsid w:val="005B7F09"/>
    <w:rsid w:val="005C3375"/>
    <w:rsid w:val="005C3F7E"/>
    <w:rsid w:val="005C6A56"/>
    <w:rsid w:val="005C7CA1"/>
    <w:rsid w:val="005D1046"/>
    <w:rsid w:val="005D14B0"/>
    <w:rsid w:val="005D2CA0"/>
    <w:rsid w:val="005D3B35"/>
    <w:rsid w:val="005D538F"/>
    <w:rsid w:val="005D5D34"/>
    <w:rsid w:val="005D787F"/>
    <w:rsid w:val="005D795E"/>
    <w:rsid w:val="005E0E61"/>
    <w:rsid w:val="005E174C"/>
    <w:rsid w:val="005E5A44"/>
    <w:rsid w:val="005E5CFA"/>
    <w:rsid w:val="005E65D0"/>
    <w:rsid w:val="005F0B7D"/>
    <w:rsid w:val="005F1558"/>
    <w:rsid w:val="005F1710"/>
    <w:rsid w:val="005F2C50"/>
    <w:rsid w:val="005F38AE"/>
    <w:rsid w:val="005F3F10"/>
    <w:rsid w:val="005F5612"/>
    <w:rsid w:val="005F6109"/>
    <w:rsid w:val="006005A8"/>
    <w:rsid w:val="00600D04"/>
    <w:rsid w:val="00601B58"/>
    <w:rsid w:val="00601B78"/>
    <w:rsid w:val="006035C0"/>
    <w:rsid w:val="006066FA"/>
    <w:rsid w:val="00606BDB"/>
    <w:rsid w:val="0060757F"/>
    <w:rsid w:val="00612736"/>
    <w:rsid w:val="0061332D"/>
    <w:rsid w:val="00613461"/>
    <w:rsid w:val="006136EF"/>
    <w:rsid w:val="00613DB0"/>
    <w:rsid w:val="00614956"/>
    <w:rsid w:val="00616068"/>
    <w:rsid w:val="00617402"/>
    <w:rsid w:val="00617DC9"/>
    <w:rsid w:val="00617F14"/>
    <w:rsid w:val="00620D13"/>
    <w:rsid w:val="006214BE"/>
    <w:rsid w:val="00621759"/>
    <w:rsid w:val="00625197"/>
    <w:rsid w:val="006252AA"/>
    <w:rsid w:val="00625E08"/>
    <w:rsid w:val="0062600C"/>
    <w:rsid w:val="006263F0"/>
    <w:rsid w:val="00626BD5"/>
    <w:rsid w:val="00626E4C"/>
    <w:rsid w:val="006308CA"/>
    <w:rsid w:val="00630E21"/>
    <w:rsid w:val="006338F1"/>
    <w:rsid w:val="006355AF"/>
    <w:rsid w:val="0063586D"/>
    <w:rsid w:val="0063598E"/>
    <w:rsid w:val="00640A0A"/>
    <w:rsid w:val="00641BF2"/>
    <w:rsid w:val="00642D14"/>
    <w:rsid w:val="00642ED6"/>
    <w:rsid w:val="00643B73"/>
    <w:rsid w:val="00644953"/>
    <w:rsid w:val="006459CA"/>
    <w:rsid w:val="00651FD6"/>
    <w:rsid w:val="0065264A"/>
    <w:rsid w:val="00652F7D"/>
    <w:rsid w:val="00653825"/>
    <w:rsid w:val="006539E1"/>
    <w:rsid w:val="0065406C"/>
    <w:rsid w:val="00655142"/>
    <w:rsid w:val="00655716"/>
    <w:rsid w:val="0065733B"/>
    <w:rsid w:val="0065759F"/>
    <w:rsid w:val="00657A21"/>
    <w:rsid w:val="00657DA1"/>
    <w:rsid w:val="0066037A"/>
    <w:rsid w:val="006624C0"/>
    <w:rsid w:val="00662CEF"/>
    <w:rsid w:val="00665C17"/>
    <w:rsid w:val="00667E0A"/>
    <w:rsid w:val="006719F1"/>
    <w:rsid w:val="00672219"/>
    <w:rsid w:val="00672BDD"/>
    <w:rsid w:val="006731B2"/>
    <w:rsid w:val="00673610"/>
    <w:rsid w:val="00674881"/>
    <w:rsid w:val="0067794C"/>
    <w:rsid w:val="00677AEE"/>
    <w:rsid w:val="00680332"/>
    <w:rsid w:val="0068036E"/>
    <w:rsid w:val="00682ADE"/>
    <w:rsid w:val="006840E9"/>
    <w:rsid w:val="00687CAC"/>
    <w:rsid w:val="006916AF"/>
    <w:rsid w:val="00695CB8"/>
    <w:rsid w:val="006970D1"/>
    <w:rsid w:val="00697745"/>
    <w:rsid w:val="006A0C6E"/>
    <w:rsid w:val="006A14AC"/>
    <w:rsid w:val="006A2541"/>
    <w:rsid w:val="006A38C5"/>
    <w:rsid w:val="006A5681"/>
    <w:rsid w:val="006A719A"/>
    <w:rsid w:val="006A7D02"/>
    <w:rsid w:val="006B12F4"/>
    <w:rsid w:val="006B1404"/>
    <w:rsid w:val="006B145D"/>
    <w:rsid w:val="006B1584"/>
    <w:rsid w:val="006B2A46"/>
    <w:rsid w:val="006B41A1"/>
    <w:rsid w:val="006B4DA8"/>
    <w:rsid w:val="006B590F"/>
    <w:rsid w:val="006B6311"/>
    <w:rsid w:val="006B7894"/>
    <w:rsid w:val="006B7FD6"/>
    <w:rsid w:val="006C0795"/>
    <w:rsid w:val="006C3D57"/>
    <w:rsid w:val="006C41F6"/>
    <w:rsid w:val="006C4A07"/>
    <w:rsid w:val="006C66A1"/>
    <w:rsid w:val="006C75E3"/>
    <w:rsid w:val="006D0BBC"/>
    <w:rsid w:val="006D20EE"/>
    <w:rsid w:val="006D2581"/>
    <w:rsid w:val="006E6279"/>
    <w:rsid w:val="006E6D89"/>
    <w:rsid w:val="006F03C2"/>
    <w:rsid w:val="006F4777"/>
    <w:rsid w:val="006F59F9"/>
    <w:rsid w:val="006F7122"/>
    <w:rsid w:val="006F732E"/>
    <w:rsid w:val="007020BD"/>
    <w:rsid w:val="00702B4B"/>
    <w:rsid w:val="00703545"/>
    <w:rsid w:val="0070535D"/>
    <w:rsid w:val="00706D79"/>
    <w:rsid w:val="0070737C"/>
    <w:rsid w:val="007109C1"/>
    <w:rsid w:val="00711053"/>
    <w:rsid w:val="007112A8"/>
    <w:rsid w:val="00712197"/>
    <w:rsid w:val="00712749"/>
    <w:rsid w:val="00712A6A"/>
    <w:rsid w:val="00714272"/>
    <w:rsid w:val="00714719"/>
    <w:rsid w:val="00716532"/>
    <w:rsid w:val="007202FF"/>
    <w:rsid w:val="00722AC6"/>
    <w:rsid w:val="007236C2"/>
    <w:rsid w:val="00724D55"/>
    <w:rsid w:val="0072525F"/>
    <w:rsid w:val="007314BB"/>
    <w:rsid w:val="00731DE1"/>
    <w:rsid w:val="007326D7"/>
    <w:rsid w:val="0073294E"/>
    <w:rsid w:val="00733247"/>
    <w:rsid w:val="00735428"/>
    <w:rsid w:val="00735E6A"/>
    <w:rsid w:val="00737DD3"/>
    <w:rsid w:val="00744C1D"/>
    <w:rsid w:val="007450A6"/>
    <w:rsid w:val="0074528B"/>
    <w:rsid w:val="007456CD"/>
    <w:rsid w:val="00745D7E"/>
    <w:rsid w:val="007460AA"/>
    <w:rsid w:val="0074612B"/>
    <w:rsid w:val="00746CD1"/>
    <w:rsid w:val="00747601"/>
    <w:rsid w:val="00750A45"/>
    <w:rsid w:val="007513CF"/>
    <w:rsid w:val="007514F2"/>
    <w:rsid w:val="007519FD"/>
    <w:rsid w:val="00752094"/>
    <w:rsid w:val="007528C7"/>
    <w:rsid w:val="007535BC"/>
    <w:rsid w:val="007536F2"/>
    <w:rsid w:val="00753850"/>
    <w:rsid w:val="00754745"/>
    <w:rsid w:val="00754F4F"/>
    <w:rsid w:val="00755128"/>
    <w:rsid w:val="0075557A"/>
    <w:rsid w:val="00756D49"/>
    <w:rsid w:val="0075729B"/>
    <w:rsid w:val="007579BB"/>
    <w:rsid w:val="007614BE"/>
    <w:rsid w:val="007622D1"/>
    <w:rsid w:val="00762AB5"/>
    <w:rsid w:val="00762D4A"/>
    <w:rsid w:val="00763A11"/>
    <w:rsid w:val="00765BC3"/>
    <w:rsid w:val="0076686E"/>
    <w:rsid w:val="007737FF"/>
    <w:rsid w:val="00774014"/>
    <w:rsid w:val="00774820"/>
    <w:rsid w:val="007752C6"/>
    <w:rsid w:val="007755AA"/>
    <w:rsid w:val="0077654E"/>
    <w:rsid w:val="007802E0"/>
    <w:rsid w:val="007805BC"/>
    <w:rsid w:val="00781ABE"/>
    <w:rsid w:val="007834FC"/>
    <w:rsid w:val="00784013"/>
    <w:rsid w:val="00784039"/>
    <w:rsid w:val="007845C2"/>
    <w:rsid w:val="00785AD0"/>
    <w:rsid w:val="0078652E"/>
    <w:rsid w:val="007874E2"/>
    <w:rsid w:val="007949EF"/>
    <w:rsid w:val="00796759"/>
    <w:rsid w:val="007A06A0"/>
    <w:rsid w:val="007A1E47"/>
    <w:rsid w:val="007A1EA6"/>
    <w:rsid w:val="007A256F"/>
    <w:rsid w:val="007A2BB2"/>
    <w:rsid w:val="007A5F27"/>
    <w:rsid w:val="007A6409"/>
    <w:rsid w:val="007A72D3"/>
    <w:rsid w:val="007B0B32"/>
    <w:rsid w:val="007B0BB8"/>
    <w:rsid w:val="007B2F70"/>
    <w:rsid w:val="007B3DE5"/>
    <w:rsid w:val="007B467B"/>
    <w:rsid w:val="007B51A1"/>
    <w:rsid w:val="007B538C"/>
    <w:rsid w:val="007B5CE3"/>
    <w:rsid w:val="007B6064"/>
    <w:rsid w:val="007C046E"/>
    <w:rsid w:val="007C2508"/>
    <w:rsid w:val="007C2D23"/>
    <w:rsid w:val="007C4EDB"/>
    <w:rsid w:val="007C621F"/>
    <w:rsid w:val="007C64EA"/>
    <w:rsid w:val="007C6FD7"/>
    <w:rsid w:val="007D060D"/>
    <w:rsid w:val="007D2516"/>
    <w:rsid w:val="007D2C8C"/>
    <w:rsid w:val="007D4021"/>
    <w:rsid w:val="007D486A"/>
    <w:rsid w:val="007D6188"/>
    <w:rsid w:val="007D62A5"/>
    <w:rsid w:val="007D65DA"/>
    <w:rsid w:val="007E2ADD"/>
    <w:rsid w:val="007E2BD4"/>
    <w:rsid w:val="007E3EB3"/>
    <w:rsid w:val="007E4492"/>
    <w:rsid w:val="007E4C69"/>
    <w:rsid w:val="007E6350"/>
    <w:rsid w:val="007E6410"/>
    <w:rsid w:val="007E7612"/>
    <w:rsid w:val="007E7F37"/>
    <w:rsid w:val="007F0A8E"/>
    <w:rsid w:val="007F1635"/>
    <w:rsid w:val="007F33D1"/>
    <w:rsid w:val="007F4091"/>
    <w:rsid w:val="007F4339"/>
    <w:rsid w:val="007F5F4E"/>
    <w:rsid w:val="007F6C6A"/>
    <w:rsid w:val="007F6D68"/>
    <w:rsid w:val="007F77A2"/>
    <w:rsid w:val="007F7EFD"/>
    <w:rsid w:val="00801855"/>
    <w:rsid w:val="00802774"/>
    <w:rsid w:val="00803E86"/>
    <w:rsid w:val="008065D0"/>
    <w:rsid w:val="0080665A"/>
    <w:rsid w:val="00810621"/>
    <w:rsid w:val="00811628"/>
    <w:rsid w:val="00812378"/>
    <w:rsid w:val="00814340"/>
    <w:rsid w:val="00815569"/>
    <w:rsid w:val="008172EE"/>
    <w:rsid w:val="008207FE"/>
    <w:rsid w:val="0082208C"/>
    <w:rsid w:val="00822201"/>
    <w:rsid w:val="0082397D"/>
    <w:rsid w:val="00823EDF"/>
    <w:rsid w:val="008250F2"/>
    <w:rsid w:val="008252BC"/>
    <w:rsid w:val="00826A1E"/>
    <w:rsid w:val="008271E9"/>
    <w:rsid w:val="00827B05"/>
    <w:rsid w:val="00830AC4"/>
    <w:rsid w:val="00830F3B"/>
    <w:rsid w:val="00831B0D"/>
    <w:rsid w:val="008327FD"/>
    <w:rsid w:val="00832D25"/>
    <w:rsid w:val="008337F1"/>
    <w:rsid w:val="00833C95"/>
    <w:rsid w:val="00834541"/>
    <w:rsid w:val="00834B4A"/>
    <w:rsid w:val="00834B77"/>
    <w:rsid w:val="00834C59"/>
    <w:rsid w:val="00834F48"/>
    <w:rsid w:val="008355F8"/>
    <w:rsid w:val="0083666E"/>
    <w:rsid w:val="00837C08"/>
    <w:rsid w:val="008410D4"/>
    <w:rsid w:val="0084257C"/>
    <w:rsid w:val="00844E08"/>
    <w:rsid w:val="00844E5A"/>
    <w:rsid w:val="00845104"/>
    <w:rsid w:val="00845CE2"/>
    <w:rsid w:val="00846940"/>
    <w:rsid w:val="008478B2"/>
    <w:rsid w:val="00850481"/>
    <w:rsid w:val="00850880"/>
    <w:rsid w:val="00850E3C"/>
    <w:rsid w:val="00852445"/>
    <w:rsid w:val="00853519"/>
    <w:rsid w:val="008535EC"/>
    <w:rsid w:val="00853952"/>
    <w:rsid w:val="00854083"/>
    <w:rsid w:val="00854E99"/>
    <w:rsid w:val="00856811"/>
    <w:rsid w:val="00856D6A"/>
    <w:rsid w:val="0086119E"/>
    <w:rsid w:val="0086176A"/>
    <w:rsid w:val="0086196D"/>
    <w:rsid w:val="00863FB6"/>
    <w:rsid w:val="0086474B"/>
    <w:rsid w:val="00864B9B"/>
    <w:rsid w:val="008651CF"/>
    <w:rsid w:val="008668AC"/>
    <w:rsid w:val="00867FA7"/>
    <w:rsid w:val="00872A37"/>
    <w:rsid w:val="00873A44"/>
    <w:rsid w:val="0087714B"/>
    <w:rsid w:val="008800EB"/>
    <w:rsid w:val="0088053A"/>
    <w:rsid w:val="008805AB"/>
    <w:rsid w:val="008818EC"/>
    <w:rsid w:val="00881C7C"/>
    <w:rsid w:val="0088219E"/>
    <w:rsid w:val="00882C6A"/>
    <w:rsid w:val="00885B82"/>
    <w:rsid w:val="008867A2"/>
    <w:rsid w:val="00886A7B"/>
    <w:rsid w:val="00892418"/>
    <w:rsid w:val="008924E2"/>
    <w:rsid w:val="0089251B"/>
    <w:rsid w:val="00892A7B"/>
    <w:rsid w:val="00892D45"/>
    <w:rsid w:val="008955CE"/>
    <w:rsid w:val="00895CBC"/>
    <w:rsid w:val="00896913"/>
    <w:rsid w:val="008A1032"/>
    <w:rsid w:val="008A3285"/>
    <w:rsid w:val="008A3D8F"/>
    <w:rsid w:val="008A4DF9"/>
    <w:rsid w:val="008A5091"/>
    <w:rsid w:val="008A66F3"/>
    <w:rsid w:val="008A70E9"/>
    <w:rsid w:val="008A7C38"/>
    <w:rsid w:val="008B2DA7"/>
    <w:rsid w:val="008B346D"/>
    <w:rsid w:val="008B509F"/>
    <w:rsid w:val="008B5A83"/>
    <w:rsid w:val="008C2407"/>
    <w:rsid w:val="008C2BDF"/>
    <w:rsid w:val="008C30D5"/>
    <w:rsid w:val="008C4EDD"/>
    <w:rsid w:val="008C69DF"/>
    <w:rsid w:val="008C789B"/>
    <w:rsid w:val="008D3B43"/>
    <w:rsid w:val="008D52AA"/>
    <w:rsid w:val="008D52F6"/>
    <w:rsid w:val="008D5CB6"/>
    <w:rsid w:val="008D6A74"/>
    <w:rsid w:val="008D7E88"/>
    <w:rsid w:val="008E2047"/>
    <w:rsid w:val="008E33B9"/>
    <w:rsid w:val="008E3E19"/>
    <w:rsid w:val="008E549E"/>
    <w:rsid w:val="008E7088"/>
    <w:rsid w:val="008F08F8"/>
    <w:rsid w:val="008F0A27"/>
    <w:rsid w:val="008F1586"/>
    <w:rsid w:val="008F39B5"/>
    <w:rsid w:val="008F5B04"/>
    <w:rsid w:val="008F7110"/>
    <w:rsid w:val="008F71BC"/>
    <w:rsid w:val="008F7FCB"/>
    <w:rsid w:val="0090012E"/>
    <w:rsid w:val="00901154"/>
    <w:rsid w:val="00901908"/>
    <w:rsid w:val="00901E3A"/>
    <w:rsid w:val="009025F7"/>
    <w:rsid w:val="00902A19"/>
    <w:rsid w:val="00903C76"/>
    <w:rsid w:val="00907B3F"/>
    <w:rsid w:val="0091025F"/>
    <w:rsid w:val="00911B79"/>
    <w:rsid w:val="00911CA3"/>
    <w:rsid w:val="009120D4"/>
    <w:rsid w:val="009125C3"/>
    <w:rsid w:val="0091557E"/>
    <w:rsid w:val="00916140"/>
    <w:rsid w:val="00922F2A"/>
    <w:rsid w:val="00923908"/>
    <w:rsid w:val="00923B8E"/>
    <w:rsid w:val="00924C52"/>
    <w:rsid w:val="00925D5B"/>
    <w:rsid w:val="0092661A"/>
    <w:rsid w:val="00926E2B"/>
    <w:rsid w:val="00927068"/>
    <w:rsid w:val="009305CD"/>
    <w:rsid w:val="00930964"/>
    <w:rsid w:val="0093115B"/>
    <w:rsid w:val="00931499"/>
    <w:rsid w:val="009328C5"/>
    <w:rsid w:val="009332FE"/>
    <w:rsid w:val="00933C35"/>
    <w:rsid w:val="00934215"/>
    <w:rsid w:val="00935D0A"/>
    <w:rsid w:val="009369B4"/>
    <w:rsid w:val="00937486"/>
    <w:rsid w:val="00937DC2"/>
    <w:rsid w:val="0094051B"/>
    <w:rsid w:val="009409F5"/>
    <w:rsid w:val="00942BAC"/>
    <w:rsid w:val="00942C90"/>
    <w:rsid w:val="00943ABA"/>
    <w:rsid w:val="0094473D"/>
    <w:rsid w:val="00944798"/>
    <w:rsid w:val="00945429"/>
    <w:rsid w:val="009463FD"/>
    <w:rsid w:val="00946EAB"/>
    <w:rsid w:val="00947411"/>
    <w:rsid w:val="00947908"/>
    <w:rsid w:val="00950E94"/>
    <w:rsid w:val="009519B0"/>
    <w:rsid w:val="0095250E"/>
    <w:rsid w:val="00952F83"/>
    <w:rsid w:val="00953596"/>
    <w:rsid w:val="0095468C"/>
    <w:rsid w:val="00954D5C"/>
    <w:rsid w:val="00955170"/>
    <w:rsid w:val="009556CF"/>
    <w:rsid w:val="00955F57"/>
    <w:rsid w:val="00956771"/>
    <w:rsid w:val="00957619"/>
    <w:rsid w:val="009576C4"/>
    <w:rsid w:val="009611CB"/>
    <w:rsid w:val="00961F6C"/>
    <w:rsid w:val="009620A4"/>
    <w:rsid w:val="009620A9"/>
    <w:rsid w:val="00965748"/>
    <w:rsid w:val="00966480"/>
    <w:rsid w:val="009679B5"/>
    <w:rsid w:val="00971665"/>
    <w:rsid w:val="009726C2"/>
    <w:rsid w:val="00972EE8"/>
    <w:rsid w:val="00972EF6"/>
    <w:rsid w:val="009736F3"/>
    <w:rsid w:val="00974CCE"/>
    <w:rsid w:val="00975011"/>
    <w:rsid w:val="00976B97"/>
    <w:rsid w:val="00976E53"/>
    <w:rsid w:val="009800F1"/>
    <w:rsid w:val="009807BD"/>
    <w:rsid w:val="009808A9"/>
    <w:rsid w:val="00980B76"/>
    <w:rsid w:val="00981A8F"/>
    <w:rsid w:val="00981B5A"/>
    <w:rsid w:val="00981E5E"/>
    <w:rsid w:val="009846F7"/>
    <w:rsid w:val="00984952"/>
    <w:rsid w:val="00985821"/>
    <w:rsid w:val="00987536"/>
    <w:rsid w:val="00992A3E"/>
    <w:rsid w:val="009945E6"/>
    <w:rsid w:val="0099549D"/>
    <w:rsid w:val="0099679A"/>
    <w:rsid w:val="009967D0"/>
    <w:rsid w:val="0099691F"/>
    <w:rsid w:val="00996954"/>
    <w:rsid w:val="00996AF1"/>
    <w:rsid w:val="00996FF5"/>
    <w:rsid w:val="009973DB"/>
    <w:rsid w:val="009A01B1"/>
    <w:rsid w:val="009A0762"/>
    <w:rsid w:val="009A0DE1"/>
    <w:rsid w:val="009A0E23"/>
    <w:rsid w:val="009A11BF"/>
    <w:rsid w:val="009A139A"/>
    <w:rsid w:val="009A1C11"/>
    <w:rsid w:val="009A3F28"/>
    <w:rsid w:val="009A5228"/>
    <w:rsid w:val="009A5903"/>
    <w:rsid w:val="009B050C"/>
    <w:rsid w:val="009B120C"/>
    <w:rsid w:val="009B33C8"/>
    <w:rsid w:val="009B5B2E"/>
    <w:rsid w:val="009B79B2"/>
    <w:rsid w:val="009C232A"/>
    <w:rsid w:val="009C45FE"/>
    <w:rsid w:val="009C4616"/>
    <w:rsid w:val="009C5233"/>
    <w:rsid w:val="009D08B5"/>
    <w:rsid w:val="009D0CDB"/>
    <w:rsid w:val="009D17BE"/>
    <w:rsid w:val="009D2469"/>
    <w:rsid w:val="009D24F7"/>
    <w:rsid w:val="009D4C4B"/>
    <w:rsid w:val="009D5053"/>
    <w:rsid w:val="009D5340"/>
    <w:rsid w:val="009D5E87"/>
    <w:rsid w:val="009D6C6F"/>
    <w:rsid w:val="009E2865"/>
    <w:rsid w:val="009E2F13"/>
    <w:rsid w:val="009E35C3"/>
    <w:rsid w:val="009E391D"/>
    <w:rsid w:val="009E3AA5"/>
    <w:rsid w:val="009E472B"/>
    <w:rsid w:val="009E4AEC"/>
    <w:rsid w:val="009E5824"/>
    <w:rsid w:val="009E5F4E"/>
    <w:rsid w:val="009E7731"/>
    <w:rsid w:val="009F05F9"/>
    <w:rsid w:val="009F0923"/>
    <w:rsid w:val="009F1244"/>
    <w:rsid w:val="009F1627"/>
    <w:rsid w:val="009F1906"/>
    <w:rsid w:val="009F3AE5"/>
    <w:rsid w:val="009F54EE"/>
    <w:rsid w:val="009F5572"/>
    <w:rsid w:val="009F7F45"/>
    <w:rsid w:val="00A01AED"/>
    <w:rsid w:val="00A02ABD"/>
    <w:rsid w:val="00A04FCB"/>
    <w:rsid w:val="00A056DE"/>
    <w:rsid w:val="00A059ED"/>
    <w:rsid w:val="00A06960"/>
    <w:rsid w:val="00A06C0F"/>
    <w:rsid w:val="00A10115"/>
    <w:rsid w:val="00A105A0"/>
    <w:rsid w:val="00A13F0F"/>
    <w:rsid w:val="00A144B0"/>
    <w:rsid w:val="00A152C5"/>
    <w:rsid w:val="00A15DD6"/>
    <w:rsid w:val="00A17188"/>
    <w:rsid w:val="00A2012F"/>
    <w:rsid w:val="00A205F3"/>
    <w:rsid w:val="00A20CAC"/>
    <w:rsid w:val="00A22727"/>
    <w:rsid w:val="00A231D0"/>
    <w:rsid w:val="00A2415E"/>
    <w:rsid w:val="00A24634"/>
    <w:rsid w:val="00A24C80"/>
    <w:rsid w:val="00A25908"/>
    <w:rsid w:val="00A25AA6"/>
    <w:rsid w:val="00A2600A"/>
    <w:rsid w:val="00A27002"/>
    <w:rsid w:val="00A3122C"/>
    <w:rsid w:val="00A329B7"/>
    <w:rsid w:val="00A341E2"/>
    <w:rsid w:val="00A35911"/>
    <w:rsid w:val="00A365F2"/>
    <w:rsid w:val="00A40166"/>
    <w:rsid w:val="00A4025D"/>
    <w:rsid w:val="00A43FBD"/>
    <w:rsid w:val="00A44F34"/>
    <w:rsid w:val="00A45A60"/>
    <w:rsid w:val="00A4761B"/>
    <w:rsid w:val="00A51E1D"/>
    <w:rsid w:val="00A5256B"/>
    <w:rsid w:val="00A52AFD"/>
    <w:rsid w:val="00A53C3C"/>
    <w:rsid w:val="00A5411C"/>
    <w:rsid w:val="00A546C5"/>
    <w:rsid w:val="00A5487B"/>
    <w:rsid w:val="00A57398"/>
    <w:rsid w:val="00A6310D"/>
    <w:rsid w:val="00A63395"/>
    <w:rsid w:val="00A63E35"/>
    <w:rsid w:val="00A6473E"/>
    <w:rsid w:val="00A6786E"/>
    <w:rsid w:val="00A7119E"/>
    <w:rsid w:val="00A7227E"/>
    <w:rsid w:val="00A729A8"/>
    <w:rsid w:val="00A73959"/>
    <w:rsid w:val="00A74E89"/>
    <w:rsid w:val="00A77198"/>
    <w:rsid w:val="00A775F9"/>
    <w:rsid w:val="00A80115"/>
    <w:rsid w:val="00A805A3"/>
    <w:rsid w:val="00A80C6B"/>
    <w:rsid w:val="00A82670"/>
    <w:rsid w:val="00A83EB9"/>
    <w:rsid w:val="00A85CFA"/>
    <w:rsid w:val="00A86E0A"/>
    <w:rsid w:val="00A90317"/>
    <w:rsid w:val="00A909BB"/>
    <w:rsid w:val="00A90C5A"/>
    <w:rsid w:val="00A91000"/>
    <w:rsid w:val="00A91331"/>
    <w:rsid w:val="00A931CA"/>
    <w:rsid w:val="00A93399"/>
    <w:rsid w:val="00A94620"/>
    <w:rsid w:val="00A96590"/>
    <w:rsid w:val="00A978B0"/>
    <w:rsid w:val="00A979E6"/>
    <w:rsid w:val="00AA2292"/>
    <w:rsid w:val="00AA27DB"/>
    <w:rsid w:val="00AA353B"/>
    <w:rsid w:val="00AA5116"/>
    <w:rsid w:val="00AA54BE"/>
    <w:rsid w:val="00AA60E1"/>
    <w:rsid w:val="00AA63FF"/>
    <w:rsid w:val="00AA7456"/>
    <w:rsid w:val="00AA76B2"/>
    <w:rsid w:val="00AA7F2E"/>
    <w:rsid w:val="00AB139E"/>
    <w:rsid w:val="00AB1C13"/>
    <w:rsid w:val="00AB203A"/>
    <w:rsid w:val="00AB2877"/>
    <w:rsid w:val="00AB3DDE"/>
    <w:rsid w:val="00AB4204"/>
    <w:rsid w:val="00AB694E"/>
    <w:rsid w:val="00AB6AC1"/>
    <w:rsid w:val="00AB6CEA"/>
    <w:rsid w:val="00AB70E9"/>
    <w:rsid w:val="00AC2A15"/>
    <w:rsid w:val="00AC39D8"/>
    <w:rsid w:val="00AC4AD4"/>
    <w:rsid w:val="00AC56E4"/>
    <w:rsid w:val="00AC5B0F"/>
    <w:rsid w:val="00AC6134"/>
    <w:rsid w:val="00AC6C6F"/>
    <w:rsid w:val="00AC73EA"/>
    <w:rsid w:val="00AD0101"/>
    <w:rsid w:val="00AD0151"/>
    <w:rsid w:val="00AD0266"/>
    <w:rsid w:val="00AD7AF5"/>
    <w:rsid w:val="00AE0C71"/>
    <w:rsid w:val="00AE0E08"/>
    <w:rsid w:val="00AE107D"/>
    <w:rsid w:val="00AE1900"/>
    <w:rsid w:val="00AE207D"/>
    <w:rsid w:val="00AE4E83"/>
    <w:rsid w:val="00AE502C"/>
    <w:rsid w:val="00AE5E98"/>
    <w:rsid w:val="00AE68AF"/>
    <w:rsid w:val="00AE6EB0"/>
    <w:rsid w:val="00AE741D"/>
    <w:rsid w:val="00AF1D15"/>
    <w:rsid w:val="00AF6410"/>
    <w:rsid w:val="00AF646B"/>
    <w:rsid w:val="00AF708C"/>
    <w:rsid w:val="00AF7155"/>
    <w:rsid w:val="00AF75DD"/>
    <w:rsid w:val="00B01B3D"/>
    <w:rsid w:val="00B0248F"/>
    <w:rsid w:val="00B02853"/>
    <w:rsid w:val="00B0400E"/>
    <w:rsid w:val="00B051AD"/>
    <w:rsid w:val="00B062E1"/>
    <w:rsid w:val="00B0724E"/>
    <w:rsid w:val="00B0739B"/>
    <w:rsid w:val="00B0792C"/>
    <w:rsid w:val="00B100CA"/>
    <w:rsid w:val="00B10863"/>
    <w:rsid w:val="00B13F70"/>
    <w:rsid w:val="00B1603F"/>
    <w:rsid w:val="00B16857"/>
    <w:rsid w:val="00B16C10"/>
    <w:rsid w:val="00B16ED9"/>
    <w:rsid w:val="00B1719A"/>
    <w:rsid w:val="00B17DAB"/>
    <w:rsid w:val="00B2108A"/>
    <w:rsid w:val="00B21997"/>
    <w:rsid w:val="00B21D60"/>
    <w:rsid w:val="00B225F2"/>
    <w:rsid w:val="00B237C5"/>
    <w:rsid w:val="00B238B8"/>
    <w:rsid w:val="00B24002"/>
    <w:rsid w:val="00B242EC"/>
    <w:rsid w:val="00B24C10"/>
    <w:rsid w:val="00B2514B"/>
    <w:rsid w:val="00B26F8F"/>
    <w:rsid w:val="00B27402"/>
    <w:rsid w:val="00B274AF"/>
    <w:rsid w:val="00B304F7"/>
    <w:rsid w:val="00B30F5A"/>
    <w:rsid w:val="00B32B1E"/>
    <w:rsid w:val="00B33B8A"/>
    <w:rsid w:val="00B357EA"/>
    <w:rsid w:val="00B35CE9"/>
    <w:rsid w:val="00B37C27"/>
    <w:rsid w:val="00B40171"/>
    <w:rsid w:val="00B403E0"/>
    <w:rsid w:val="00B414BC"/>
    <w:rsid w:val="00B43859"/>
    <w:rsid w:val="00B4412F"/>
    <w:rsid w:val="00B44D09"/>
    <w:rsid w:val="00B46233"/>
    <w:rsid w:val="00B463CC"/>
    <w:rsid w:val="00B464BD"/>
    <w:rsid w:val="00B4729A"/>
    <w:rsid w:val="00B47E01"/>
    <w:rsid w:val="00B53D5A"/>
    <w:rsid w:val="00B53E82"/>
    <w:rsid w:val="00B553A3"/>
    <w:rsid w:val="00B560CC"/>
    <w:rsid w:val="00B5668B"/>
    <w:rsid w:val="00B57CA9"/>
    <w:rsid w:val="00B61566"/>
    <w:rsid w:val="00B624CA"/>
    <w:rsid w:val="00B63BC9"/>
    <w:rsid w:val="00B65DBC"/>
    <w:rsid w:val="00B65F69"/>
    <w:rsid w:val="00B66A48"/>
    <w:rsid w:val="00B676EC"/>
    <w:rsid w:val="00B6776C"/>
    <w:rsid w:val="00B67BEE"/>
    <w:rsid w:val="00B67D76"/>
    <w:rsid w:val="00B67E78"/>
    <w:rsid w:val="00B70C23"/>
    <w:rsid w:val="00B71545"/>
    <w:rsid w:val="00B740AC"/>
    <w:rsid w:val="00B740DC"/>
    <w:rsid w:val="00B756EE"/>
    <w:rsid w:val="00B75B00"/>
    <w:rsid w:val="00B75D49"/>
    <w:rsid w:val="00B761C8"/>
    <w:rsid w:val="00B76872"/>
    <w:rsid w:val="00B7775A"/>
    <w:rsid w:val="00B80AB3"/>
    <w:rsid w:val="00B81791"/>
    <w:rsid w:val="00B81ABB"/>
    <w:rsid w:val="00B8592A"/>
    <w:rsid w:val="00B85F35"/>
    <w:rsid w:val="00B863D9"/>
    <w:rsid w:val="00B867BE"/>
    <w:rsid w:val="00B86973"/>
    <w:rsid w:val="00B87E4C"/>
    <w:rsid w:val="00B9140F"/>
    <w:rsid w:val="00B918F4"/>
    <w:rsid w:val="00B920FD"/>
    <w:rsid w:val="00B93508"/>
    <w:rsid w:val="00B9351B"/>
    <w:rsid w:val="00B93B50"/>
    <w:rsid w:val="00B93D03"/>
    <w:rsid w:val="00B940BC"/>
    <w:rsid w:val="00B96264"/>
    <w:rsid w:val="00B97916"/>
    <w:rsid w:val="00BA02E8"/>
    <w:rsid w:val="00BA10AD"/>
    <w:rsid w:val="00BA45D0"/>
    <w:rsid w:val="00BA52AE"/>
    <w:rsid w:val="00BA7DF2"/>
    <w:rsid w:val="00BB13A7"/>
    <w:rsid w:val="00BB2093"/>
    <w:rsid w:val="00BB3EE2"/>
    <w:rsid w:val="00BB50E8"/>
    <w:rsid w:val="00BB54CB"/>
    <w:rsid w:val="00BB66CB"/>
    <w:rsid w:val="00BB6EB3"/>
    <w:rsid w:val="00BB7254"/>
    <w:rsid w:val="00BB7431"/>
    <w:rsid w:val="00BC38E1"/>
    <w:rsid w:val="00BC3E5B"/>
    <w:rsid w:val="00BC5AA0"/>
    <w:rsid w:val="00BC5E35"/>
    <w:rsid w:val="00BC6273"/>
    <w:rsid w:val="00BC74EA"/>
    <w:rsid w:val="00BD2A35"/>
    <w:rsid w:val="00BD3795"/>
    <w:rsid w:val="00BD4A75"/>
    <w:rsid w:val="00BD72E4"/>
    <w:rsid w:val="00BD794C"/>
    <w:rsid w:val="00BD7B26"/>
    <w:rsid w:val="00BE0261"/>
    <w:rsid w:val="00BE0A56"/>
    <w:rsid w:val="00BE2987"/>
    <w:rsid w:val="00BE2FEF"/>
    <w:rsid w:val="00BE39BC"/>
    <w:rsid w:val="00BE4C7B"/>
    <w:rsid w:val="00BE4E86"/>
    <w:rsid w:val="00BE5AF9"/>
    <w:rsid w:val="00BE6B43"/>
    <w:rsid w:val="00BE753F"/>
    <w:rsid w:val="00BF14C5"/>
    <w:rsid w:val="00BF3A04"/>
    <w:rsid w:val="00BF54C0"/>
    <w:rsid w:val="00BF6B75"/>
    <w:rsid w:val="00BF71DF"/>
    <w:rsid w:val="00BF72A7"/>
    <w:rsid w:val="00BF79D0"/>
    <w:rsid w:val="00BF7A9F"/>
    <w:rsid w:val="00BF7F34"/>
    <w:rsid w:val="00C00F9F"/>
    <w:rsid w:val="00C0108B"/>
    <w:rsid w:val="00C01442"/>
    <w:rsid w:val="00C01E87"/>
    <w:rsid w:val="00C07287"/>
    <w:rsid w:val="00C10512"/>
    <w:rsid w:val="00C11475"/>
    <w:rsid w:val="00C11AC6"/>
    <w:rsid w:val="00C130AD"/>
    <w:rsid w:val="00C1323D"/>
    <w:rsid w:val="00C14A0D"/>
    <w:rsid w:val="00C155B1"/>
    <w:rsid w:val="00C15E4C"/>
    <w:rsid w:val="00C20886"/>
    <w:rsid w:val="00C23927"/>
    <w:rsid w:val="00C23F63"/>
    <w:rsid w:val="00C26930"/>
    <w:rsid w:val="00C272AC"/>
    <w:rsid w:val="00C2756C"/>
    <w:rsid w:val="00C3016A"/>
    <w:rsid w:val="00C302DF"/>
    <w:rsid w:val="00C303A9"/>
    <w:rsid w:val="00C30A04"/>
    <w:rsid w:val="00C31E97"/>
    <w:rsid w:val="00C3240E"/>
    <w:rsid w:val="00C33CA8"/>
    <w:rsid w:val="00C35037"/>
    <w:rsid w:val="00C3607A"/>
    <w:rsid w:val="00C360BC"/>
    <w:rsid w:val="00C364F3"/>
    <w:rsid w:val="00C370E8"/>
    <w:rsid w:val="00C37565"/>
    <w:rsid w:val="00C40533"/>
    <w:rsid w:val="00C406B5"/>
    <w:rsid w:val="00C41742"/>
    <w:rsid w:val="00C41CA1"/>
    <w:rsid w:val="00C46B9A"/>
    <w:rsid w:val="00C50D1C"/>
    <w:rsid w:val="00C53918"/>
    <w:rsid w:val="00C53B5D"/>
    <w:rsid w:val="00C54EA1"/>
    <w:rsid w:val="00C55059"/>
    <w:rsid w:val="00C55245"/>
    <w:rsid w:val="00C55837"/>
    <w:rsid w:val="00C561CF"/>
    <w:rsid w:val="00C56F69"/>
    <w:rsid w:val="00C623C4"/>
    <w:rsid w:val="00C62DE2"/>
    <w:rsid w:val="00C64199"/>
    <w:rsid w:val="00C64A56"/>
    <w:rsid w:val="00C64EFA"/>
    <w:rsid w:val="00C673B3"/>
    <w:rsid w:val="00C67B79"/>
    <w:rsid w:val="00C725F2"/>
    <w:rsid w:val="00C72CAB"/>
    <w:rsid w:val="00C72D37"/>
    <w:rsid w:val="00C72E99"/>
    <w:rsid w:val="00C73895"/>
    <w:rsid w:val="00C80318"/>
    <w:rsid w:val="00C806C7"/>
    <w:rsid w:val="00C82FDD"/>
    <w:rsid w:val="00C832E3"/>
    <w:rsid w:val="00C8486E"/>
    <w:rsid w:val="00C86861"/>
    <w:rsid w:val="00C86FD7"/>
    <w:rsid w:val="00C8787B"/>
    <w:rsid w:val="00C87993"/>
    <w:rsid w:val="00C906F6"/>
    <w:rsid w:val="00C918C5"/>
    <w:rsid w:val="00C931BA"/>
    <w:rsid w:val="00C9447C"/>
    <w:rsid w:val="00C94C65"/>
    <w:rsid w:val="00C94F7C"/>
    <w:rsid w:val="00C95981"/>
    <w:rsid w:val="00C95DD0"/>
    <w:rsid w:val="00C963E4"/>
    <w:rsid w:val="00CA0B1A"/>
    <w:rsid w:val="00CA1A84"/>
    <w:rsid w:val="00CA2B75"/>
    <w:rsid w:val="00CA2CD7"/>
    <w:rsid w:val="00CA3CB1"/>
    <w:rsid w:val="00CA43E8"/>
    <w:rsid w:val="00CA4496"/>
    <w:rsid w:val="00CA6020"/>
    <w:rsid w:val="00CB0764"/>
    <w:rsid w:val="00CB07ED"/>
    <w:rsid w:val="00CB19B5"/>
    <w:rsid w:val="00CB5AAE"/>
    <w:rsid w:val="00CB6305"/>
    <w:rsid w:val="00CB73C5"/>
    <w:rsid w:val="00CC13F5"/>
    <w:rsid w:val="00CC15E4"/>
    <w:rsid w:val="00CC236D"/>
    <w:rsid w:val="00CC28B2"/>
    <w:rsid w:val="00CC3229"/>
    <w:rsid w:val="00CC60FF"/>
    <w:rsid w:val="00CC61E5"/>
    <w:rsid w:val="00CC6862"/>
    <w:rsid w:val="00CC7ACA"/>
    <w:rsid w:val="00CD0953"/>
    <w:rsid w:val="00CD19B8"/>
    <w:rsid w:val="00CD26E5"/>
    <w:rsid w:val="00CD3485"/>
    <w:rsid w:val="00CD3792"/>
    <w:rsid w:val="00CD38B8"/>
    <w:rsid w:val="00CD40C2"/>
    <w:rsid w:val="00CD5C44"/>
    <w:rsid w:val="00CD7EFD"/>
    <w:rsid w:val="00CE061E"/>
    <w:rsid w:val="00CE0AE2"/>
    <w:rsid w:val="00CE2858"/>
    <w:rsid w:val="00CE29F8"/>
    <w:rsid w:val="00CE30B0"/>
    <w:rsid w:val="00CE4FEE"/>
    <w:rsid w:val="00CE529E"/>
    <w:rsid w:val="00CE7399"/>
    <w:rsid w:val="00CE7B34"/>
    <w:rsid w:val="00CF143C"/>
    <w:rsid w:val="00CF1D37"/>
    <w:rsid w:val="00CF3829"/>
    <w:rsid w:val="00CF3BCD"/>
    <w:rsid w:val="00CF443D"/>
    <w:rsid w:val="00CF5182"/>
    <w:rsid w:val="00CF6FC9"/>
    <w:rsid w:val="00D01632"/>
    <w:rsid w:val="00D02955"/>
    <w:rsid w:val="00D02E90"/>
    <w:rsid w:val="00D03AC0"/>
    <w:rsid w:val="00D04FDC"/>
    <w:rsid w:val="00D1072E"/>
    <w:rsid w:val="00D11E80"/>
    <w:rsid w:val="00D129BA"/>
    <w:rsid w:val="00D13424"/>
    <w:rsid w:val="00D16037"/>
    <w:rsid w:val="00D172AF"/>
    <w:rsid w:val="00D17319"/>
    <w:rsid w:val="00D20249"/>
    <w:rsid w:val="00D204E9"/>
    <w:rsid w:val="00D218FF"/>
    <w:rsid w:val="00D229E2"/>
    <w:rsid w:val="00D233BE"/>
    <w:rsid w:val="00D2370B"/>
    <w:rsid w:val="00D24325"/>
    <w:rsid w:val="00D245EC"/>
    <w:rsid w:val="00D26F53"/>
    <w:rsid w:val="00D27F6B"/>
    <w:rsid w:val="00D27F97"/>
    <w:rsid w:val="00D33AA0"/>
    <w:rsid w:val="00D33BC3"/>
    <w:rsid w:val="00D346B5"/>
    <w:rsid w:val="00D355AC"/>
    <w:rsid w:val="00D35BE3"/>
    <w:rsid w:val="00D361C9"/>
    <w:rsid w:val="00D36BDC"/>
    <w:rsid w:val="00D40A72"/>
    <w:rsid w:val="00D41B7E"/>
    <w:rsid w:val="00D444A9"/>
    <w:rsid w:val="00D44810"/>
    <w:rsid w:val="00D45358"/>
    <w:rsid w:val="00D454DE"/>
    <w:rsid w:val="00D45CE5"/>
    <w:rsid w:val="00D50A00"/>
    <w:rsid w:val="00D520D1"/>
    <w:rsid w:val="00D53A5B"/>
    <w:rsid w:val="00D542D0"/>
    <w:rsid w:val="00D55904"/>
    <w:rsid w:val="00D55F6A"/>
    <w:rsid w:val="00D561CF"/>
    <w:rsid w:val="00D56994"/>
    <w:rsid w:val="00D570BB"/>
    <w:rsid w:val="00D57809"/>
    <w:rsid w:val="00D57F8E"/>
    <w:rsid w:val="00D61F7E"/>
    <w:rsid w:val="00D62AA9"/>
    <w:rsid w:val="00D64C60"/>
    <w:rsid w:val="00D65852"/>
    <w:rsid w:val="00D67338"/>
    <w:rsid w:val="00D6748D"/>
    <w:rsid w:val="00D703A6"/>
    <w:rsid w:val="00D70D6B"/>
    <w:rsid w:val="00D72BAE"/>
    <w:rsid w:val="00D73D84"/>
    <w:rsid w:val="00D75B98"/>
    <w:rsid w:val="00D77380"/>
    <w:rsid w:val="00D80D01"/>
    <w:rsid w:val="00D8339B"/>
    <w:rsid w:val="00D83961"/>
    <w:rsid w:val="00D841B2"/>
    <w:rsid w:val="00D85A3F"/>
    <w:rsid w:val="00D8605F"/>
    <w:rsid w:val="00D861C6"/>
    <w:rsid w:val="00D875FF"/>
    <w:rsid w:val="00D900B5"/>
    <w:rsid w:val="00D90A3B"/>
    <w:rsid w:val="00D921A4"/>
    <w:rsid w:val="00D92A11"/>
    <w:rsid w:val="00D92E72"/>
    <w:rsid w:val="00D935D6"/>
    <w:rsid w:val="00D94BC3"/>
    <w:rsid w:val="00D94D3D"/>
    <w:rsid w:val="00DA2CD8"/>
    <w:rsid w:val="00DA3E79"/>
    <w:rsid w:val="00DA471B"/>
    <w:rsid w:val="00DA6636"/>
    <w:rsid w:val="00DA68F8"/>
    <w:rsid w:val="00DA7782"/>
    <w:rsid w:val="00DA7B05"/>
    <w:rsid w:val="00DA7C0F"/>
    <w:rsid w:val="00DA7C56"/>
    <w:rsid w:val="00DA7EBF"/>
    <w:rsid w:val="00DB07BB"/>
    <w:rsid w:val="00DB15C8"/>
    <w:rsid w:val="00DB66D5"/>
    <w:rsid w:val="00DB7A21"/>
    <w:rsid w:val="00DC165E"/>
    <w:rsid w:val="00DC2F87"/>
    <w:rsid w:val="00DC2FBF"/>
    <w:rsid w:val="00DC3204"/>
    <w:rsid w:val="00DC4186"/>
    <w:rsid w:val="00DC4220"/>
    <w:rsid w:val="00DC4658"/>
    <w:rsid w:val="00DC4FB5"/>
    <w:rsid w:val="00DC64DE"/>
    <w:rsid w:val="00DC796A"/>
    <w:rsid w:val="00DD0C04"/>
    <w:rsid w:val="00DD106D"/>
    <w:rsid w:val="00DD2120"/>
    <w:rsid w:val="00DD41AC"/>
    <w:rsid w:val="00DD5145"/>
    <w:rsid w:val="00DE01FD"/>
    <w:rsid w:val="00DE2140"/>
    <w:rsid w:val="00DE2F6E"/>
    <w:rsid w:val="00DE40E6"/>
    <w:rsid w:val="00DE4576"/>
    <w:rsid w:val="00DE46CF"/>
    <w:rsid w:val="00DE5EB7"/>
    <w:rsid w:val="00DF1080"/>
    <w:rsid w:val="00DF188B"/>
    <w:rsid w:val="00DF21CD"/>
    <w:rsid w:val="00DF2DD3"/>
    <w:rsid w:val="00DF339E"/>
    <w:rsid w:val="00DF530E"/>
    <w:rsid w:val="00DF59AC"/>
    <w:rsid w:val="00DF7778"/>
    <w:rsid w:val="00DF7AEE"/>
    <w:rsid w:val="00E000CC"/>
    <w:rsid w:val="00E00AA9"/>
    <w:rsid w:val="00E00C3F"/>
    <w:rsid w:val="00E00FB4"/>
    <w:rsid w:val="00E01510"/>
    <w:rsid w:val="00E01893"/>
    <w:rsid w:val="00E058D5"/>
    <w:rsid w:val="00E06A41"/>
    <w:rsid w:val="00E0765B"/>
    <w:rsid w:val="00E117B3"/>
    <w:rsid w:val="00E11DAE"/>
    <w:rsid w:val="00E12A00"/>
    <w:rsid w:val="00E1405C"/>
    <w:rsid w:val="00E14DFB"/>
    <w:rsid w:val="00E155FE"/>
    <w:rsid w:val="00E16446"/>
    <w:rsid w:val="00E17876"/>
    <w:rsid w:val="00E206C1"/>
    <w:rsid w:val="00E20B19"/>
    <w:rsid w:val="00E21414"/>
    <w:rsid w:val="00E2338B"/>
    <w:rsid w:val="00E23D67"/>
    <w:rsid w:val="00E24ADC"/>
    <w:rsid w:val="00E25617"/>
    <w:rsid w:val="00E25C7A"/>
    <w:rsid w:val="00E26116"/>
    <w:rsid w:val="00E26658"/>
    <w:rsid w:val="00E266D6"/>
    <w:rsid w:val="00E267A8"/>
    <w:rsid w:val="00E26AB0"/>
    <w:rsid w:val="00E27545"/>
    <w:rsid w:val="00E275EF"/>
    <w:rsid w:val="00E27B42"/>
    <w:rsid w:val="00E31896"/>
    <w:rsid w:val="00E3217B"/>
    <w:rsid w:val="00E32579"/>
    <w:rsid w:val="00E32A80"/>
    <w:rsid w:val="00E32E19"/>
    <w:rsid w:val="00E3408B"/>
    <w:rsid w:val="00E350C7"/>
    <w:rsid w:val="00E358CA"/>
    <w:rsid w:val="00E35FC5"/>
    <w:rsid w:val="00E369DD"/>
    <w:rsid w:val="00E37C84"/>
    <w:rsid w:val="00E416FE"/>
    <w:rsid w:val="00E43297"/>
    <w:rsid w:val="00E43B53"/>
    <w:rsid w:val="00E451EB"/>
    <w:rsid w:val="00E4757D"/>
    <w:rsid w:val="00E47E48"/>
    <w:rsid w:val="00E500E5"/>
    <w:rsid w:val="00E503A8"/>
    <w:rsid w:val="00E50571"/>
    <w:rsid w:val="00E51545"/>
    <w:rsid w:val="00E52784"/>
    <w:rsid w:val="00E5308D"/>
    <w:rsid w:val="00E531D6"/>
    <w:rsid w:val="00E532C8"/>
    <w:rsid w:val="00E53E86"/>
    <w:rsid w:val="00E545C5"/>
    <w:rsid w:val="00E55D3D"/>
    <w:rsid w:val="00E57E2E"/>
    <w:rsid w:val="00E603DF"/>
    <w:rsid w:val="00E64163"/>
    <w:rsid w:val="00E64E96"/>
    <w:rsid w:val="00E65DF0"/>
    <w:rsid w:val="00E7054C"/>
    <w:rsid w:val="00E70B09"/>
    <w:rsid w:val="00E70F5E"/>
    <w:rsid w:val="00E71A95"/>
    <w:rsid w:val="00E73B59"/>
    <w:rsid w:val="00E73F08"/>
    <w:rsid w:val="00E76993"/>
    <w:rsid w:val="00E83CFA"/>
    <w:rsid w:val="00E83F47"/>
    <w:rsid w:val="00E86D28"/>
    <w:rsid w:val="00E90136"/>
    <w:rsid w:val="00E91B37"/>
    <w:rsid w:val="00E9208E"/>
    <w:rsid w:val="00E92E03"/>
    <w:rsid w:val="00E93A86"/>
    <w:rsid w:val="00E94374"/>
    <w:rsid w:val="00E94A00"/>
    <w:rsid w:val="00E977C5"/>
    <w:rsid w:val="00EA0848"/>
    <w:rsid w:val="00EA1196"/>
    <w:rsid w:val="00EA13C0"/>
    <w:rsid w:val="00EA2D6D"/>
    <w:rsid w:val="00EA2ECC"/>
    <w:rsid w:val="00EA3A7B"/>
    <w:rsid w:val="00EA3E91"/>
    <w:rsid w:val="00EA3ED6"/>
    <w:rsid w:val="00EA43FE"/>
    <w:rsid w:val="00EA5893"/>
    <w:rsid w:val="00EA5A5B"/>
    <w:rsid w:val="00EB0F37"/>
    <w:rsid w:val="00EB3814"/>
    <w:rsid w:val="00EB3BD2"/>
    <w:rsid w:val="00EB4A65"/>
    <w:rsid w:val="00EC04D4"/>
    <w:rsid w:val="00EC17AB"/>
    <w:rsid w:val="00EC362E"/>
    <w:rsid w:val="00EC4A72"/>
    <w:rsid w:val="00EC59B0"/>
    <w:rsid w:val="00EC6B48"/>
    <w:rsid w:val="00EC7E83"/>
    <w:rsid w:val="00ED2E08"/>
    <w:rsid w:val="00ED6758"/>
    <w:rsid w:val="00ED7F7B"/>
    <w:rsid w:val="00EE0758"/>
    <w:rsid w:val="00EE0BB2"/>
    <w:rsid w:val="00EE1C86"/>
    <w:rsid w:val="00EE232F"/>
    <w:rsid w:val="00EE2E5B"/>
    <w:rsid w:val="00EE3D25"/>
    <w:rsid w:val="00EE4B4A"/>
    <w:rsid w:val="00EE5335"/>
    <w:rsid w:val="00EE6BA4"/>
    <w:rsid w:val="00EE6F2F"/>
    <w:rsid w:val="00EF0697"/>
    <w:rsid w:val="00EF078E"/>
    <w:rsid w:val="00EF2510"/>
    <w:rsid w:val="00EF3E95"/>
    <w:rsid w:val="00EF3ED3"/>
    <w:rsid w:val="00EF549F"/>
    <w:rsid w:val="00EF6111"/>
    <w:rsid w:val="00EF72BC"/>
    <w:rsid w:val="00F00701"/>
    <w:rsid w:val="00F00D77"/>
    <w:rsid w:val="00F01358"/>
    <w:rsid w:val="00F0183C"/>
    <w:rsid w:val="00F03CC4"/>
    <w:rsid w:val="00F04334"/>
    <w:rsid w:val="00F055C5"/>
    <w:rsid w:val="00F056DF"/>
    <w:rsid w:val="00F05893"/>
    <w:rsid w:val="00F0648E"/>
    <w:rsid w:val="00F06C8A"/>
    <w:rsid w:val="00F07537"/>
    <w:rsid w:val="00F1019E"/>
    <w:rsid w:val="00F1488B"/>
    <w:rsid w:val="00F14943"/>
    <w:rsid w:val="00F16CE0"/>
    <w:rsid w:val="00F174DD"/>
    <w:rsid w:val="00F20185"/>
    <w:rsid w:val="00F223DA"/>
    <w:rsid w:val="00F22940"/>
    <w:rsid w:val="00F229A1"/>
    <w:rsid w:val="00F24248"/>
    <w:rsid w:val="00F2643B"/>
    <w:rsid w:val="00F27721"/>
    <w:rsid w:val="00F3060D"/>
    <w:rsid w:val="00F35479"/>
    <w:rsid w:val="00F35CAF"/>
    <w:rsid w:val="00F35D18"/>
    <w:rsid w:val="00F36490"/>
    <w:rsid w:val="00F367F2"/>
    <w:rsid w:val="00F36B20"/>
    <w:rsid w:val="00F40327"/>
    <w:rsid w:val="00F41556"/>
    <w:rsid w:val="00F4231B"/>
    <w:rsid w:val="00F44E55"/>
    <w:rsid w:val="00F45F34"/>
    <w:rsid w:val="00F4616B"/>
    <w:rsid w:val="00F461E9"/>
    <w:rsid w:val="00F465C6"/>
    <w:rsid w:val="00F47948"/>
    <w:rsid w:val="00F50079"/>
    <w:rsid w:val="00F5016B"/>
    <w:rsid w:val="00F51DA3"/>
    <w:rsid w:val="00F532F7"/>
    <w:rsid w:val="00F54CE4"/>
    <w:rsid w:val="00F57C2A"/>
    <w:rsid w:val="00F603B5"/>
    <w:rsid w:val="00F603E4"/>
    <w:rsid w:val="00F605F9"/>
    <w:rsid w:val="00F60DE7"/>
    <w:rsid w:val="00F61B90"/>
    <w:rsid w:val="00F62024"/>
    <w:rsid w:val="00F63ECF"/>
    <w:rsid w:val="00F643B8"/>
    <w:rsid w:val="00F6460B"/>
    <w:rsid w:val="00F64635"/>
    <w:rsid w:val="00F66AAE"/>
    <w:rsid w:val="00F671B7"/>
    <w:rsid w:val="00F72639"/>
    <w:rsid w:val="00F73ED4"/>
    <w:rsid w:val="00F75642"/>
    <w:rsid w:val="00F77259"/>
    <w:rsid w:val="00F7760E"/>
    <w:rsid w:val="00F77AE0"/>
    <w:rsid w:val="00F8039B"/>
    <w:rsid w:val="00F83664"/>
    <w:rsid w:val="00F839F5"/>
    <w:rsid w:val="00F851A4"/>
    <w:rsid w:val="00F85E67"/>
    <w:rsid w:val="00F861BB"/>
    <w:rsid w:val="00F86A39"/>
    <w:rsid w:val="00F86CA7"/>
    <w:rsid w:val="00F87858"/>
    <w:rsid w:val="00F87D63"/>
    <w:rsid w:val="00F90B32"/>
    <w:rsid w:val="00F90C56"/>
    <w:rsid w:val="00F933A2"/>
    <w:rsid w:val="00F94545"/>
    <w:rsid w:val="00F94D29"/>
    <w:rsid w:val="00F96079"/>
    <w:rsid w:val="00F9627B"/>
    <w:rsid w:val="00F9641A"/>
    <w:rsid w:val="00F9699B"/>
    <w:rsid w:val="00FA0856"/>
    <w:rsid w:val="00FA094A"/>
    <w:rsid w:val="00FA2335"/>
    <w:rsid w:val="00FA519E"/>
    <w:rsid w:val="00FA55BB"/>
    <w:rsid w:val="00FA76AE"/>
    <w:rsid w:val="00FB1B70"/>
    <w:rsid w:val="00FB230B"/>
    <w:rsid w:val="00FB25EF"/>
    <w:rsid w:val="00FB3049"/>
    <w:rsid w:val="00FB3E8D"/>
    <w:rsid w:val="00FB47A2"/>
    <w:rsid w:val="00FB67FC"/>
    <w:rsid w:val="00FC1AA5"/>
    <w:rsid w:val="00FC1B7A"/>
    <w:rsid w:val="00FC20BC"/>
    <w:rsid w:val="00FC36CE"/>
    <w:rsid w:val="00FC4C37"/>
    <w:rsid w:val="00FC4C70"/>
    <w:rsid w:val="00FC7269"/>
    <w:rsid w:val="00FD1D28"/>
    <w:rsid w:val="00FD1E57"/>
    <w:rsid w:val="00FD21FE"/>
    <w:rsid w:val="00FD24E4"/>
    <w:rsid w:val="00FD500F"/>
    <w:rsid w:val="00FD59B5"/>
    <w:rsid w:val="00FD59EF"/>
    <w:rsid w:val="00FD6C41"/>
    <w:rsid w:val="00FE1081"/>
    <w:rsid w:val="00FE1151"/>
    <w:rsid w:val="00FE204A"/>
    <w:rsid w:val="00FE378B"/>
    <w:rsid w:val="00FE3FC3"/>
    <w:rsid w:val="00FE4C57"/>
    <w:rsid w:val="00FE5BB2"/>
    <w:rsid w:val="00FF208F"/>
    <w:rsid w:val="00FF2722"/>
    <w:rsid w:val="00FF3D53"/>
    <w:rsid w:val="00FF410D"/>
    <w:rsid w:val="00FF59F5"/>
    <w:rsid w:val="00FF6F7D"/>
    <w:rsid w:val="00FF7C78"/>
    <w:rsid w:val="00FF7D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0" w:unhideWhenUsed="0" w:qFormat="1"/>
    <w:lsdException w:name="Emphasis" w:semiHidden="0" w:uiPriority="0" w:unhideWhenUsed="0" w:qFormat="1"/>
    <w:lsdException w:name="Document Map"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67BE"/>
    <w:pPr>
      <w:shd w:val="clear" w:color="auto" w:fill="6F94BD"/>
      <w:snapToGrid w:val="0"/>
      <w:spacing w:before="360" w:after="360"/>
      <w:outlineLvl w:val="0"/>
    </w:pPr>
    <w:rPr>
      <w:rFonts w:ascii="Arial Narrow" w:eastAsia="SimSun" w:hAnsi="Arial Narrow" w:cs="Calibri"/>
      <w:b/>
      <w:color w:val="FFFFFF" w:themeColor="background1"/>
      <w:sz w:val="28"/>
      <w:szCs w:val="28"/>
    </w:rPr>
  </w:style>
  <w:style w:type="paragraph" w:styleId="Heading2">
    <w:name w:val="heading 2"/>
    <w:basedOn w:val="Normal"/>
    <w:next w:val="Normal"/>
    <w:link w:val="Heading2Char1"/>
    <w:uiPriority w:val="9"/>
    <w:qFormat/>
    <w:rsid w:val="00E51545"/>
    <w:pPr>
      <w:keepNext/>
      <w:spacing w:before="240" w:after="240" w:line="240" w:lineRule="auto"/>
      <w:outlineLvl w:val="1"/>
    </w:pPr>
    <w:rPr>
      <w:rFonts w:ascii="Arial Narrow" w:eastAsia="SimSun" w:hAnsi="Arial Narrow" w:cs="Arial"/>
      <w:b/>
      <w:bCs/>
      <w:color w:val="5480B0"/>
      <w:sz w:val="28"/>
      <w:szCs w:val="28"/>
      <w:lang w:val="fr-FR"/>
    </w:rPr>
  </w:style>
  <w:style w:type="paragraph" w:styleId="Heading3">
    <w:name w:val="heading 3"/>
    <w:basedOn w:val="Heading-3"/>
    <w:next w:val="Normal"/>
    <w:link w:val="Heading3Char"/>
    <w:uiPriority w:val="9"/>
    <w:qFormat/>
    <w:rsid w:val="00E51545"/>
    <w:pPr>
      <w:outlineLvl w:val="2"/>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67BE"/>
    <w:rPr>
      <w:rFonts w:ascii="Arial Narrow" w:eastAsia="SimSun" w:hAnsi="Arial Narrow" w:cs="Calibri"/>
      <w:b/>
      <w:color w:val="FFFFFF" w:themeColor="background1"/>
      <w:sz w:val="28"/>
      <w:szCs w:val="28"/>
      <w:shd w:val="clear" w:color="auto" w:fill="6F94BD"/>
    </w:rPr>
  </w:style>
  <w:style w:type="character" w:customStyle="1" w:styleId="Heading2Char1">
    <w:name w:val="Heading 2 Char1"/>
    <w:link w:val="Heading2"/>
    <w:rsid w:val="00E51545"/>
    <w:rPr>
      <w:rFonts w:ascii="Arial Narrow" w:eastAsia="SimSun" w:hAnsi="Arial Narrow" w:cs="Arial"/>
      <w:b/>
      <w:bCs/>
      <w:color w:val="5480B0"/>
      <w:sz w:val="28"/>
      <w:szCs w:val="28"/>
      <w:lang w:val="fr-FR"/>
    </w:rPr>
  </w:style>
  <w:style w:type="paragraph" w:customStyle="1" w:styleId="Heading-3">
    <w:name w:val="Heading-3"/>
    <w:basedOn w:val="Default"/>
    <w:rsid w:val="00E51545"/>
    <w:pPr>
      <w:pBdr>
        <w:bottom w:val="dotted" w:sz="4" w:space="1" w:color="5480B0"/>
      </w:pBdr>
      <w:spacing w:before="240"/>
    </w:pPr>
    <w:rPr>
      <w:rFonts w:ascii="Cambria" w:hAnsi="Cambria"/>
      <w:b/>
      <w:bCs/>
      <w:i/>
      <w:iCs/>
      <w:color w:val="5480B0"/>
    </w:rPr>
  </w:style>
  <w:style w:type="paragraph" w:customStyle="1" w:styleId="Default">
    <w:name w:val="Default"/>
    <w:link w:val="DefaultChar"/>
    <w:rsid w:val="00E51545"/>
    <w:pPr>
      <w:autoSpaceDE w:val="0"/>
      <w:autoSpaceDN w:val="0"/>
      <w:adjustRightInd w:val="0"/>
      <w:spacing w:after="120" w:line="240" w:lineRule="auto"/>
    </w:pPr>
    <w:rPr>
      <w:rFonts w:ascii="Calibri" w:eastAsia="SimSun" w:hAnsi="Calibri" w:cs="Calibri"/>
      <w:color w:val="000000"/>
      <w:lang w:val="en-US"/>
    </w:rPr>
  </w:style>
  <w:style w:type="character" w:customStyle="1" w:styleId="DefaultChar">
    <w:name w:val="Default Char"/>
    <w:link w:val="Default"/>
    <w:rsid w:val="00E51545"/>
    <w:rPr>
      <w:rFonts w:ascii="Calibri" w:eastAsia="SimSun" w:hAnsi="Calibri" w:cs="Calibri"/>
      <w:color w:val="000000"/>
      <w:lang w:val="en-US"/>
    </w:rPr>
  </w:style>
  <w:style w:type="character" w:customStyle="1" w:styleId="Heading3Char">
    <w:name w:val="Heading 3 Char"/>
    <w:basedOn w:val="DefaultParagraphFont"/>
    <w:link w:val="Heading3"/>
    <w:uiPriority w:val="9"/>
    <w:rsid w:val="00E51545"/>
    <w:rPr>
      <w:rFonts w:ascii="Calibri" w:eastAsia="SimSun" w:hAnsi="Calibri" w:cs="Calibri"/>
      <w:b/>
      <w:bCs/>
      <w:i/>
      <w:iCs/>
      <w:color w:val="5480B0"/>
      <w:lang w:val="en-US"/>
    </w:rPr>
  </w:style>
  <w:style w:type="paragraph" w:customStyle="1" w:styleId="Heading-1">
    <w:name w:val="Heading-1"/>
    <w:basedOn w:val="Heading1"/>
    <w:rsid w:val="00E51545"/>
    <w:pPr>
      <w:spacing w:before="0"/>
    </w:pPr>
    <w:rPr>
      <w:rFonts w:ascii="Cambria" w:hAnsi="Cambria"/>
      <w:b w:val="0"/>
      <w:color w:val="003366"/>
      <w:sz w:val="36"/>
      <w:szCs w:val="36"/>
    </w:rPr>
  </w:style>
  <w:style w:type="paragraph" w:styleId="Date">
    <w:name w:val="Date"/>
    <w:basedOn w:val="Normal"/>
    <w:next w:val="Normal"/>
    <w:link w:val="DateChar"/>
    <w:unhideWhenUsed/>
    <w:rsid w:val="00E51545"/>
  </w:style>
  <w:style w:type="character" w:customStyle="1" w:styleId="DateChar">
    <w:name w:val="Date Char"/>
    <w:basedOn w:val="DefaultParagraphFont"/>
    <w:link w:val="Date"/>
    <w:uiPriority w:val="99"/>
    <w:semiHidden/>
    <w:rsid w:val="00E51545"/>
  </w:style>
  <w:style w:type="paragraph" w:styleId="BalloonText">
    <w:name w:val="Balloon Text"/>
    <w:basedOn w:val="Normal"/>
    <w:link w:val="BalloonTextChar"/>
    <w:uiPriority w:val="99"/>
    <w:semiHidden/>
    <w:unhideWhenUsed/>
    <w:rsid w:val="00E515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1545"/>
    <w:rPr>
      <w:rFonts w:ascii="Tahoma" w:hAnsi="Tahoma" w:cs="Tahoma"/>
      <w:sz w:val="16"/>
      <w:szCs w:val="16"/>
    </w:rPr>
  </w:style>
  <w:style w:type="character" w:customStyle="1" w:styleId="Heading2Char">
    <w:name w:val="Heading 2 Char"/>
    <w:basedOn w:val="DefaultParagraphFont"/>
    <w:uiPriority w:val="9"/>
    <w:rsid w:val="00E51545"/>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2"/>
    <w:uiPriority w:val="99"/>
    <w:rsid w:val="00E51545"/>
    <w:pPr>
      <w:spacing w:after="180" w:line="240" w:lineRule="auto"/>
      <w:jc w:val="both"/>
    </w:pPr>
    <w:rPr>
      <w:rFonts w:ascii="Garamond" w:eastAsia="SimSun" w:hAnsi="Garamond" w:cs="Times New Roman"/>
      <w:sz w:val="20"/>
      <w:szCs w:val="20"/>
      <w:lang w:val="en-US"/>
    </w:rPr>
  </w:style>
  <w:style w:type="character" w:customStyle="1" w:styleId="FootnoteTextChar2">
    <w:name w:val="Footnote Text Char2"/>
    <w:link w:val="FootnoteText"/>
    <w:rsid w:val="00E51545"/>
    <w:rPr>
      <w:rFonts w:ascii="Garamond" w:eastAsia="SimSun" w:hAnsi="Garamond" w:cs="Times New Roman"/>
      <w:sz w:val="20"/>
      <w:szCs w:val="20"/>
      <w:lang w:val="en-US"/>
    </w:rPr>
  </w:style>
  <w:style w:type="character" w:customStyle="1" w:styleId="FootnoteTextChar">
    <w:name w:val="Footnote Text Char"/>
    <w:basedOn w:val="DefaultParagraphFont"/>
    <w:rsid w:val="00B867BE"/>
    <w:rPr>
      <w:sz w:val="16"/>
      <w:szCs w:val="20"/>
    </w:rPr>
  </w:style>
  <w:style w:type="character" w:styleId="FootnoteReference">
    <w:name w:val="footnote reference"/>
    <w:aliases w:val="样式程脚注引用,ftref,Footnotes refss,16 Point,Superscript 6 Point,Знак сноски 1,Footnote text,fr,(NECG) Footnote Reference,Footnote + Arial,10 pt,Black"/>
    <w:uiPriority w:val="99"/>
    <w:rsid w:val="00E51545"/>
    <w:rPr>
      <w:vertAlign w:val="superscript"/>
    </w:rPr>
  </w:style>
  <w:style w:type="character" w:styleId="Hyperlink">
    <w:name w:val="Hyperlink"/>
    <w:uiPriority w:val="99"/>
    <w:rsid w:val="00E51545"/>
    <w:rPr>
      <w:color w:val="0000FF"/>
      <w:u w:val="single"/>
    </w:rPr>
  </w:style>
  <w:style w:type="paragraph" w:customStyle="1" w:styleId="BulletedList0">
    <w:name w:val="BulletedList"/>
    <w:basedOn w:val="Normal"/>
    <w:link w:val="BulletedListChar"/>
    <w:rsid w:val="00E51545"/>
    <w:pPr>
      <w:spacing w:after="120" w:line="240" w:lineRule="auto"/>
    </w:pPr>
    <w:rPr>
      <w:rFonts w:ascii="Cambria" w:eastAsia="SimSun" w:hAnsi="Cambria" w:cs="Times New Roman"/>
    </w:rPr>
  </w:style>
  <w:style w:type="character" w:customStyle="1" w:styleId="BulletedListChar">
    <w:name w:val="BulletedList Char"/>
    <w:link w:val="BulletedList0"/>
    <w:rsid w:val="00E51545"/>
    <w:rPr>
      <w:rFonts w:ascii="Cambria" w:eastAsia="SimSun" w:hAnsi="Cambria" w:cs="Times New Roman"/>
    </w:rPr>
  </w:style>
  <w:style w:type="table" w:styleId="TableGrid">
    <w:name w:val="Table Grid"/>
    <w:basedOn w:val="TableNormal"/>
    <w:uiPriority w:val="59"/>
    <w:rsid w:val="00E51545"/>
    <w:pPr>
      <w:spacing w:after="18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E51545"/>
    <w:pPr>
      <w:jc w:val="both"/>
    </w:pPr>
    <w:rPr>
      <w:rFonts w:ascii="Calibri" w:eastAsia="Times New Roman" w:hAnsi="Calibri" w:cs="Arial"/>
      <w:sz w:val="20"/>
      <w:szCs w:val="20"/>
      <w:lang w:val="en-US" w:eastAsia="en-US"/>
    </w:rPr>
  </w:style>
  <w:style w:type="character" w:customStyle="1" w:styleId="EndnoteTextChar">
    <w:name w:val="Endnote Text Char"/>
    <w:basedOn w:val="DefaultParagraphFont"/>
    <w:link w:val="EndnoteText"/>
    <w:semiHidden/>
    <w:rsid w:val="00E51545"/>
    <w:rPr>
      <w:rFonts w:ascii="Calibri" w:eastAsia="Times New Roman" w:hAnsi="Calibri" w:cs="Arial"/>
      <w:sz w:val="20"/>
      <w:szCs w:val="20"/>
      <w:lang w:val="en-US" w:eastAsia="en-US"/>
    </w:rPr>
  </w:style>
  <w:style w:type="character" w:styleId="EndnoteReference">
    <w:name w:val="endnote reference"/>
    <w:semiHidden/>
    <w:rsid w:val="00E51545"/>
    <w:rPr>
      <w:vertAlign w:val="superscript"/>
    </w:rPr>
  </w:style>
  <w:style w:type="character" w:styleId="CommentReference">
    <w:name w:val="annotation reference"/>
    <w:uiPriority w:val="99"/>
    <w:rsid w:val="00E51545"/>
    <w:rPr>
      <w:sz w:val="16"/>
      <w:szCs w:val="16"/>
    </w:rPr>
  </w:style>
  <w:style w:type="paragraph" w:styleId="CommentText">
    <w:name w:val="annotation text"/>
    <w:basedOn w:val="Normal"/>
    <w:link w:val="CommentTextChar"/>
    <w:uiPriority w:val="99"/>
    <w:rsid w:val="00E51545"/>
    <w:pPr>
      <w:spacing w:after="180" w:line="240" w:lineRule="auto"/>
      <w:jc w:val="both"/>
    </w:pPr>
    <w:rPr>
      <w:rFonts w:ascii="Garamond" w:eastAsia="SimSun" w:hAnsi="Garamond" w:cs="Times New Roman"/>
      <w:sz w:val="20"/>
      <w:szCs w:val="20"/>
      <w:lang w:val="en-US"/>
    </w:rPr>
  </w:style>
  <w:style w:type="character" w:customStyle="1" w:styleId="CommentTextChar">
    <w:name w:val="Comment Text Char"/>
    <w:basedOn w:val="DefaultParagraphFont"/>
    <w:link w:val="CommentText"/>
    <w:uiPriority w:val="99"/>
    <w:rsid w:val="00E51545"/>
    <w:rPr>
      <w:rFonts w:ascii="Garamond" w:eastAsia="SimSun" w:hAnsi="Garamond" w:cs="Times New Roman"/>
      <w:sz w:val="20"/>
      <w:szCs w:val="20"/>
      <w:lang w:val="en-US"/>
    </w:rPr>
  </w:style>
  <w:style w:type="paragraph" w:styleId="CommentSubject">
    <w:name w:val="annotation subject"/>
    <w:basedOn w:val="CommentText"/>
    <w:next w:val="CommentText"/>
    <w:link w:val="CommentSubjectChar"/>
    <w:uiPriority w:val="99"/>
    <w:semiHidden/>
    <w:rsid w:val="00E51545"/>
    <w:rPr>
      <w:b/>
      <w:bCs/>
    </w:rPr>
  </w:style>
  <w:style w:type="character" w:customStyle="1" w:styleId="CommentSubjectChar">
    <w:name w:val="Comment Subject Char"/>
    <w:basedOn w:val="CommentTextChar"/>
    <w:link w:val="CommentSubject"/>
    <w:uiPriority w:val="99"/>
    <w:semiHidden/>
    <w:rsid w:val="00E51545"/>
    <w:rPr>
      <w:rFonts w:ascii="Garamond" w:eastAsia="SimSun" w:hAnsi="Garamond" w:cs="Times New Roman"/>
      <w:b/>
      <w:bCs/>
      <w:sz w:val="20"/>
      <w:szCs w:val="20"/>
      <w:lang w:val="en-US"/>
    </w:rPr>
  </w:style>
  <w:style w:type="paragraph" w:styleId="DocumentMap">
    <w:name w:val="Document Map"/>
    <w:basedOn w:val="Normal"/>
    <w:link w:val="DocumentMapChar"/>
    <w:semiHidden/>
    <w:rsid w:val="00E51545"/>
    <w:pPr>
      <w:shd w:val="clear" w:color="auto" w:fill="000080"/>
      <w:spacing w:after="180" w:line="240" w:lineRule="auto"/>
      <w:jc w:val="both"/>
    </w:pPr>
    <w:rPr>
      <w:rFonts w:ascii="Tahoma" w:eastAsia="SimSun" w:hAnsi="Tahoma" w:cs="Tahoma"/>
      <w:sz w:val="20"/>
      <w:szCs w:val="20"/>
      <w:lang w:val="en-US"/>
    </w:rPr>
  </w:style>
  <w:style w:type="character" w:customStyle="1" w:styleId="DocumentMapChar">
    <w:name w:val="Document Map Char"/>
    <w:basedOn w:val="DefaultParagraphFont"/>
    <w:link w:val="DocumentMap"/>
    <w:semiHidden/>
    <w:rsid w:val="00E51545"/>
    <w:rPr>
      <w:rFonts w:ascii="Tahoma" w:eastAsia="SimSun" w:hAnsi="Tahoma" w:cs="Tahoma"/>
      <w:sz w:val="20"/>
      <w:szCs w:val="20"/>
      <w:shd w:val="clear" w:color="auto" w:fill="000080"/>
      <w:lang w:val="en-US"/>
    </w:rPr>
  </w:style>
  <w:style w:type="character" w:customStyle="1" w:styleId="CharChar">
    <w:name w:val="Char Char"/>
    <w:semiHidden/>
    <w:rsid w:val="00E51545"/>
    <w:rPr>
      <w:rFonts w:cs="Angsana New"/>
      <w:lang w:val="en-GB" w:eastAsia="zh-CN" w:bidi="ar-SA"/>
    </w:rPr>
  </w:style>
  <w:style w:type="paragraph" w:styleId="TOC1">
    <w:name w:val="toc 1"/>
    <w:basedOn w:val="Normal"/>
    <w:next w:val="Normal"/>
    <w:autoRedefine/>
    <w:uiPriority w:val="39"/>
    <w:rsid w:val="00FB230B"/>
    <w:pPr>
      <w:tabs>
        <w:tab w:val="right" w:leader="dot" w:pos="9628"/>
      </w:tabs>
      <w:spacing w:after="100" w:line="240" w:lineRule="auto"/>
      <w:ind w:left="284"/>
    </w:pPr>
    <w:rPr>
      <w:rFonts w:eastAsia="SimSun" w:cstheme="minorHAnsi"/>
      <w:b/>
      <w:bCs/>
      <w:noProof/>
      <w:color w:val="5480B0"/>
      <w:sz w:val="24"/>
      <w:szCs w:val="24"/>
      <w:lang w:val="en-US"/>
    </w:rPr>
  </w:style>
  <w:style w:type="paragraph" w:styleId="TOC2">
    <w:name w:val="toc 2"/>
    <w:basedOn w:val="Normal"/>
    <w:next w:val="Normal"/>
    <w:autoRedefine/>
    <w:uiPriority w:val="39"/>
    <w:rsid w:val="00D204E9"/>
    <w:pPr>
      <w:tabs>
        <w:tab w:val="right" w:leader="dot" w:pos="9639"/>
      </w:tabs>
      <w:spacing w:after="180" w:line="240" w:lineRule="auto"/>
      <w:ind w:left="220"/>
    </w:pPr>
    <w:rPr>
      <w:rFonts w:ascii="Calibri" w:eastAsia="SimSun" w:hAnsi="Calibri" w:cs="Times New Roman"/>
      <w:sz w:val="20"/>
      <w:szCs w:val="24"/>
      <w:lang w:val="en-US"/>
    </w:rPr>
  </w:style>
  <w:style w:type="paragraph" w:styleId="TOC3">
    <w:name w:val="toc 3"/>
    <w:basedOn w:val="Normal"/>
    <w:next w:val="Normal"/>
    <w:autoRedefine/>
    <w:uiPriority w:val="39"/>
    <w:rsid w:val="00E51545"/>
    <w:pPr>
      <w:spacing w:after="180" w:line="240" w:lineRule="auto"/>
      <w:ind w:left="440"/>
      <w:jc w:val="both"/>
    </w:pPr>
    <w:rPr>
      <w:rFonts w:ascii="Garamond" w:eastAsia="SimSun" w:hAnsi="Garamond" w:cs="Times New Roman"/>
      <w:sz w:val="23"/>
      <w:szCs w:val="24"/>
      <w:lang w:val="en-US"/>
    </w:rPr>
  </w:style>
  <w:style w:type="paragraph" w:customStyle="1" w:styleId="Heading-section">
    <w:name w:val="Heading-section"/>
    <w:basedOn w:val="Default"/>
    <w:rsid w:val="00E51545"/>
    <w:pPr>
      <w:shd w:val="clear" w:color="auto" w:fill="7699C0"/>
      <w:ind w:left="720" w:hanging="720"/>
    </w:pPr>
    <w:rPr>
      <w:rFonts w:ascii="Cambria" w:hAnsi="Cambria" w:cs="MyriadPro-Black"/>
      <w:b/>
      <w:bCs/>
      <w:color w:val="FFFFFF"/>
      <w:sz w:val="36"/>
      <w:szCs w:val="36"/>
    </w:rPr>
  </w:style>
  <w:style w:type="paragraph" w:customStyle="1" w:styleId="Heading-2">
    <w:name w:val="Heading-2"/>
    <w:basedOn w:val="Heading-1"/>
    <w:rsid w:val="00E51545"/>
    <w:rPr>
      <w:color w:val="5480B0"/>
      <w:sz w:val="28"/>
    </w:rPr>
  </w:style>
  <w:style w:type="paragraph" w:styleId="Header">
    <w:name w:val="header"/>
    <w:basedOn w:val="Normal"/>
    <w:link w:val="HeaderChar"/>
    <w:uiPriority w:val="99"/>
    <w:rsid w:val="00E51545"/>
    <w:pPr>
      <w:tabs>
        <w:tab w:val="center" w:pos="4320"/>
        <w:tab w:val="right" w:pos="8640"/>
      </w:tabs>
      <w:spacing w:after="180" w:line="240" w:lineRule="auto"/>
      <w:jc w:val="both"/>
    </w:pPr>
    <w:rPr>
      <w:rFonts w:ascii="Garamond" w:eastAsia="SimSun" w:hAnsi="Garamond" w:cs="Times New Roman"/>
      <w:sz w:val="23"/>
      <w:szCs w:val="24"/>
      <w:lang w:val="en-US"/>
    </w:rPr>
  </w:style>
  <w:style w:type="character" w:customStyle="1" w:styleId="HeaderChar">
    <w:name w:val="Header Char"/>
    <w:basedOn w:val="DefaultParagraphFont"/>
    <w:link w:val="Header"/>
    <w:uiPriority w:val="99"/>
    <w:rsid w:val="00E51545"/>
    <w:rPr>
      <w:rFonts w:ascii="Garamond" w:eastAsia="SimSun" w:hAnsi="Garamond" w:cs="Times New Roman"/>
      <w:sz w:val="23"/>
      <w:szCs w:val="24"/>
      <w:lang w:val="en-US"/>
    </w:rPr>
  </w:style>
  <w:style w:type="paragraph" w:styleId="Footer">
    <w:name w:val="footer"/>
    <w:basedOn w:val="Normal"/>
    <w:link w:val="FooterChar"/>
    <w:uiPriority w:val="99"/>
    <w:rsid w:val="00E51545"/>
    <w:pPr>
      <w:tabs>
        <w:tab w:val="center" w:pos="4320"/>
        <w:tab w:val="right" w:pos="8640"/>
      </w:tabs>
      <w:spacing w:after="180" w:line="240" w:lineRule="auto"/>
      <w:jc w:val="both"/>
    </w:pPr>
    <w:rPr>
      <w:rFonts w:ascii="Garamond" w:eastAsia="SimSun" w:hAnsi="Garamond" w:cs="Times New Roman"/>
      <w:sz w:val="23"/>
      <w:szCs w:val="24"/>
      <w:lang w:val="en-US"/>
    </w:rPr>
  </w:style>
  <w:style w:type="character" w:customStyle="1" w:styleId="FooterChar">
    <w:name w:val="Footer Char"/>
    <w:basedOn w:val="DefaultParagraphFont"/>
    <w:link w:val="Footer"/>
    <w:uiPriority w:val="99"/>
    <w:rsid w:val="00E51545"/>
    <w:rPr>
      <w:rFonts w:ascii="Garamond" w:eastAsia="SimSun" w:hAnsi="Garamond" w:cs="Times New Roman"/>
      <w:sz w:val="23"/>
      <w:szCs w:val="24"/>
      <w:lang w:val="en-US"/>
    </w:rPr>
  </w:style>
  <w:style w:type="character" w:styleId="PageNumber">
    <w:name w:val="page number"/>
    <w:basedOn w:val="DefaultParagraphFont"/>
    <w:rsid w:val="00E51545"/>
  </w:style>
  <w:style w:type="paragraph" w:styleId="NormalWeb">
    <w:name w:val="Normal (Web)"/>
    <w:basedOn w:val="Normal"/>
    <w:uiPriority w:val="99"/>
    <w:rsid w:val="00E51545"/>
    <w:pPr>
      <w:spacing w:before="100" w:beforeAutospacing="1" w:after="100" w:afterAutospacing="1" w:line="240" w:lineRule="auto"/>
    </w:pPr>
    <w:rPr>
      <w:rFonts w:ascii="Times New Roman" w:eastAsia="SimSun" w:hAnsi="Times New Roman" w:cs="Times New Roman"/>
      <w:sz w:val="24"/>
      <w:szCs w:val="24"/>
      <w:lang w:val="en-US"/>
    </w:rPr>
  </w:style>
  <w:style w:type="character" w:styleId="Strong">
    <w:name w:val="Strong"/>
    <w:qFormat/>
    <w:rsid w:val="00E51545"/>
    <w:rPr>
      <w:b/>
      <w:bCs/>
    </w:rPr>
  </w:style>
  <w:style w:type="character" w:customStyle="1" w:styleId="FootnoteTextChar1">
    <w:name w:val="Footnote Text Char1"/>
    <w:semiHidden/>
    <w:locked/>
    <w:rsid w:val="00E51545"/>
    <w:rPr>
      <w:rFonts w:ascii="Garamond" w:eastAsia="SimSun" w:hAnsi="Garamond" w:cs="Times New Roman"/>
      <w:lang w:val="en-US" w:eastAsia="zh-CN" w:bidi="ar-SA"/>
    </w:rPr>
  </w:style>
  <w:style w:type="character" w:customStyle="1" w:styleId="CharChar1">
    <w:name w:val="Char Char1"/>
    <w:semiHidden/>
    <w:rsid w:val="00E51545"/>
    <w:rPr>
      <w:rFonts w:cs="Angsana New"/>
      <w:lang w:val="en-GB" w:eastAsia="zh-CN" w:bidi="ar-SA"/>
    </w:rPr>
  </w:style>
  <w:style w:type="paragraph" w:styleId="Revision">
    <w:name w:val="Revision"/>
    <w:hidden/>
    <w:uiPriority w:val="99"/>
    <w:semiHidden/>
    <w:rsid w:val="00E51545"/>
    <w:pPr>
      <w:spacing w:after="0" w:line="240" w:lineRule="auto"/>
    </w:pPr>
    <w:rPr>
      <w:rFonts w:ascii="Garamond" w:eastAsia="SimSun" w:hAnsi="Garamond" w:cs="Times New Roman"/>
      <w:sz w:val="23"/>
      <w:szCs w:val="24"/>
      <w:lang w:val="en-US"/>
    </w:rPr>
  </w:style>
  <w:style w:type="character" w:customStyle="1" w:styleId="CharChar3">
    <w:name w:val="Char Char3"/>
    <w:semiHidden/>
    <w:rsid w:val="00E51545"/>
    <w:rPr>
      <w:rFonts w:ascii="Garamond" w:eastAsia="SimSun" w:hAnsi="Garamond"/>
      <w:lang w:val="en-US" w:eastAsia="zh-CN" w:bidi="ar-SA"/>
    </w:rPr>
  </w:style>
  <w:style w:type="paragraph" w:customStyle="1" w:styleId="default0">
    <w:name w:val="default"/>
    <w:basedOn w:val="Normal"/>
    <w:rsid w:val="00E51545"/>
    <w:pPr>
      <w:autoSpaceDE w:val="0"/>
      <w:autoSpaceDN w:val="0"/>
      <w:spacing w:after="120" w:line="240" w:lineRule="auto"/>
    </w:pPr>
    <w:rPr>
      <w:rFonts w:ascii="Calibri" w:eastAsia="SimSun" w:hAnsi="Calibri" w:cs="Times New Roman"/>
      <w:color w:val="000000"/>
      <w:lang w:val="en-US"/>
    </w:rPr>
  </w:style>
  <w:style w:type="paragraph" w:customStyle="1" w:styleId="REPORTBodyText">
    <w:name w:val="REPORT BodyText"/>
    <w:link w:val="REPORTBodyTextChar"/>
    <w:qFormat/>
    <w:rsid w:val="00E51545"/>
    <w:pPr>
      <w:spacing w:after="240" w:line="240" w:lineRule="auto"/>
      <w:jc w:val="both"/>
    </w:pPr>
    <w:rPr>
      <w:rFonts w:ascii="Times New Roman" w:eastAsia="Calibri" w:hAnsi="Times New Roman" w:cs="Times New Roman"/>
      <w:sz w:val="24"/>
      <w:lang w:val="en-US" w:eastAsia="en-US"/>
    </w:rPr>
  </w:style>
  <w:style w:type="character" w:customStyle="1" w:styleId="REPORTBodyTextChar">
    <w:name w:val="REPORT BodyText Char"/>
    <w:link w:val="REPORTBodyText"/>
    <w:rsid w:val="00E51545"/>
    <w:rPr>
      <w:rFonts w:ascii="Times New Roman" w:eastAsia="Calibri" w:hAnsi="Times New Roman" w:cs="Times New Roman"/>
      <w:sz w:val="24"/>
      <w:lang w:val="en-US" w:eastAsia="en-US"/>
    </w:rPr>
  </w:style>
  <w:style w:type="paragraph" w:styleId="BodyText">
    <w:name w:val="Body Text"/>
    <w:basedOn w:val="Paragraph"/>
    <w:link w:val="BodyTextChar1"/>
    <w:rsid w:val="00B867BE"/>
    <w:rPr>
      <w:rFonts w:eastAsia="Calibri"/>
      <w:sz w:val="20"/>
      <w:lang w:eastAsia="en-US"/>
    </w:rPr>
  </w:style>
  <w:style w:type="paragraph" w:customStyle="1" w:styleId="Paragraph">
    <w:name w:val="Paragraph"/>
    <w:basedOn w:val="Normal"/>
    <w:qFormat/>
    <w:rsid w:val="00E51545"/>
    <w:pPr>
      <w:spacing w:after="240" w:line="240" w:lineRule="auto"/>
    </w:pPr>
    <w:rPr>
      <w:rFonts w:ascii="Calibri" w:eastAsia="SimSun" w:hAnsi="Calibri" w:cs="Calibri"/>
      <w:lang w:val="en-US"/>
    </w:rPr>
  </w:style>
  <w:style w:type="character" w:customStyle="1" w:styleId="BodyTextChar1">
    <w:name w:val="Body Text Char1"/>
    <w:link w:val="BodyText"/>
    <w:rsid w:val="00B867BE"/>
    <w:rPr>
      <w:rFonts w:ascii="Calibri" w:eastAsia="Calibri" w:hAnsi="Calibri" w:cs="Calibri"/>
      <w:sz w:val="20"/>
      <w:lang w:val="en-US" w:eastAsia="en-US"/>
    </w:rPr>
  </w:style>
  <w:style w:type="character" w:customStyle="1" w:styleId="BodyTextChar">
    <w:name w:val="Body Text Char"/>
    <w:basedOn w:val="DefaultParagraphFont"/>
    <w:rsid w:val="00E51545"/>
  </w:style>
  <w:style w:type="paragraph" w:customStyle="1" w:styleId="Body1">
    <w:name w:val="Body 1"/>
    <w:rsid w:val="00E51545"/>
    <w:pPr>
      <w:spacing w:after="0" w:line="240" w:lineRule="auto"/>
    </w:pPr>
    <w:rPr>
      <w:rFonts w:ascii="Helvetica" w:eastAsia="ヒラギノ角ゴ Pro W3" w:hAnsi="Helvetica" w:cs="Times New Roman"/>
      <w:color w:val="000000"/>
      <w:sz w:val="24"/>
      <w:szCs w:val="20"/>
      <w:lang w:val="en-US" w:eastAsia="en-US"/>
    </w:rPr>
  </w:style>
  <w:style w:type="paragraph" w:customStyle="1" w:styleId="TableContents">
    <w:name w:val="Table Contents"/>
    <w:basedOn w:val="Normal"/>
    <w:rsid w:val="00E51545"/>
    <w:pPr>
      <w:widowControl w:val="0"/>
      <w:suppressLineNumbers/>
      <w:suppressAutoHyphens/>
      <w:spacing w:after="0" w:line="240" w:lineRule="auto"/>
    </w:pPr>
    <w:rPr>
      <w:rFonts w:ascii="Times New Roman" w:eastAsia="SimSun" w:hAnsi="Times New Roman" w:cs="Mangal"/>
      <w:kern w:val="1"/>
      <w:sz w:val="24"/>
      <w:szCs w:val="24"/>
      <w:lang w:val="en-CA" w:eastAsia="hi-IN" w:bidi="hi-IN"/>
    </w:rPr>
  </w:style>
  <w:style w:type="paragraph" w:customStyle="1" w:styleId="WHO">
    <w:name w:val="WHO"/>
    <w:basedOn w:val="Normal"/>
    <w:rsid w:val="00E51545"/>
    <w:pPr>
      <w:spacing w:after="0" w:line="240" w:lineRule="auto"/>
    </w:pPr>
    <w:rPr>
      <w:rFonts w:ascii="Times New Roman" w:eastAsia="Times New Roman" w:hAnsi="Times New Roman" w:cs="Times New Roman"/>
      <w:sz w:val="24"/>
      <w:szCs w:val="24"/>
    </w:rPr>
  </w:style>
  <w:style w:type="paragraph" w:styleId="Title">
    <w:name w:val="Title"/>
    <w:basedOn w:val="Normal"/>
    <w:link w:val="TitleChar"/>
    <w:qFormat/>
    <w:rsid w:val="00E51545"/>
    <w:pPr>
      <w:spacing w:after="0" w:line="240" w:lineRule="auto"/>
      <w:jc w:val="center"/>
    </w:pPr>
    <w:rPr>
      <w:rFonts w:ascii="Arial Black" w:eastAsia="MS Mincho" w:hAnsi="Arial Black" w:cs="Times New Roman"/>
      <w:b/>
      <w:sz w:val="21"/>
      <w:szCs w:val="24"/>
      <w:u w:val="single"/>
      <w:lang w:val="en-US" w:eastAsia="en-US"/>
    </w:rPr>
  </w:style>
  <w:style w:type="character" w:customStyle="1" w:styleId="TitleChar">
    <w:name w:val="Title Char"/>
    <w:basedOn w:val="DefaultParagraphFont"/>
    <w:link w:val="Title"/>
    <w:rsid w:val="00E51545"/>
    <w:rPr>
      <w:rFonts w:ascii="Arial Black" w:eastAsia="MS Mincho" w:hAnsi="Arial Black" w:cs="Times New Roman"/>
      <w:b/>
      <w:sz w:val="21"/>
      <w:szCs w:val="24"/>
      <w:u w:val="single"/>
      <w:lang w:val="en-US" w:eastAsia="en-US"/>
    </w:rPr>
  </w:style>
  <w:style w:type="paragraph" w:customStyle="1" w:styleId="Heading-Annexes">
    <w:name w:val="Heading-Annexes"/>
    <w:basedOn w:val="Heading-1"/>
    <w:rsid w:val="00E51545"/>
    <w:pPr>
      <w:pBdr>
        <w:bottom w:val="single" w:sz="12" w:space="1" w:color="5480B0"/>
      </w:pBdr>
    </w:pPr>
  </w:style>
  <w:style w:type="character" w:styleId="FollowedHyperlink">
    <w:name w:val="FollowedHyperlink"/>
    <w:uiPriority w:val="99"/>
    <w:rsid w:val="00E51545"/>
    <w:rPr>
      <w:color w:val="606420"/>
      <w:u w:val="single"/>
    </w:rPr>
  </w:style>
  <w:style w:type="character" w:styleId="Emphasis">
    <w:name w:val="Emphasis"/>
    <w:qFormat/>
    <w:rsid w:val="00E51545"/>
    <w:rPr>
      <w:b/>
      <w:bCs/>
      <w:i w:val="0"/>
      <w:iCs w:val="0"/>
    </w:rPr>
  </w:style>
  <w:style w:type="paragraph" w:customStyle="1" w:styleId="Pa16">
    <w:name w:val="Pa16"/>
    <w:basedOn w:val="Normal"/>
    <w:next w:val="Normal"/>
    <w:rsid w:val="00E51545"/>
    <w:pPr>
      <w:autoSpaceDE w:val="0"/>
      <w:autoSpaceDN w:val="0"/>
      <w:adjustRightInd w:val="0"/>
      <w:spacing w:after="0" w:line="221" w:lineRule="atLeast"/>
    </w:pPr>
    <w:rPr>
      <w:rFonts w:ascii="Minion Pro" w:eastAsia="SimSun" w:hAnsi="Minion Pro" w:cs="Times New Roman"/>
      <w:sz w:val="24"/>
      <w:szCs w:val="24"/>
      <w:lang w:val="en-US"/>
    </w:rPr>
  </w:style>
  <w:style w:type="character" w:customStyle="1" w:styleId="A7">
    <w:name w:val="A7"/>
    <w:rsid w:val="00E51545"/>
    <w:rPr>
      <w:rFonts w:ascii="MS Mincho" w:eastAsia="MS Mincho" w:cs="MS Mincho"/>
      <w:color w:val="000000"/>
      <w:sz w:val="14"/>
      <w:szCs w:val="14"/>
    </w:rPr>
  </w:style>
  <w:style w:type="paragraph" w:customStyle="1" w:styleId="Pa21">
    <w:name w:val="Pa21"/>
    <w:basedOn w:val="Normal"/>
    <w:next w:val="Normal"/>
    <w:rsid w:val="00E51545"/>
    <w:pPr>
      <w:autoSpaceDE w:val="0"/>
      <w:autoSpaceDN w:val="0"/>
      <w:adjustRightInd w:val="0"/>
      <w:spacing w:after="0" w:line="221" w:lineRule="atLeast"/>
    </w:pPr>
    <w:rPr>
      <w:rFonts w:ascii="Myriad Pro Light Cond" w:eastAsia="SimSun" w:hAnsi="Myriad Pro Light Cond" w:cs="Times New Roman"/>
      <w:sz w:val="24"/>
      <w:szCs w:val="24"/>
      <w:lang w:val="en-US"/>
    </w:rPr>
  </w:style>
  <w:style w:type="paragraph" w:customStyle="1" w:styleId="Pa20">
    <w:name w:val="Pa20"/>
    <w:basedOn w:val="Normal"/>
    <w:next w:val="Normal"/>
    <w:rsid w:val="00E51545"/>
    <w:pPr>
      <w:autoSpaceDE w:val="0"/>
      <w:autoSpaceDN w:val="0"/>
      <w:adjustRightInd w:val="0"/>
      <w:spacing w:after="0" w:line="221" w:lineRule="atLeast"/>
    </w:pPr>
    <w:rPr>
      <w:rFonts w:ascii="Myriad Pro" w:eastAsia="SimSun" w:hAnsi="Myriad Pro" w:cs="Times New Roman"/>
      <w:sz w:val="24"/>
      <w:szCs w:val="24"/>
      <w:lang w:val="en-US"/>
    </w:rPr>
  </w:style>
  <w:style w:type="character" w:customStyle="1" w:styleId="A14">
    <w:name w:val="A14"/>
    <w:rsid w:val="00E51545"/>
    <w:rPr>
      <w:rFonts w:ascii="Myriad Pro Light Cond" w:hAnsi="Myriad Pro Light Cond" w:cs="Myriad Pro Light Cond"/>
      <w:color w:val="000000"/>
      <w:sz w:val="12"/>
      <w:szCs w:val="12"/>
    </w:rPr>
  </w:style>
  <w:style w:type="character" w:customStyle="1" w:styleId="textparagraph">
    <w:name w:val="textparagraph"/>
    <w:basedOn w:val="DefaultParagraphFont"/>
    <w:rsid w:val="00E51545"/>
  </w:style>
  <w:style w:type="character" w:customStyle="1" w:styleId="indica-txt">
    <w:name w:val="indica-txt"/>
    <w:basedOn w:val="DefaultParagraphFont"/>
    <w:rsid w:val="00E51545"/>
  </w:style>
  <w:style w:type="character" w:customStyle="1" w:styleId="referencetext1">
    <w:name w:val="referencetext1"/>
    <w:rsid w:val="00E51545"/>
    <w:rPr>
      <w:vanish w:val="0"/>
      <w:webHidden w:val="0"/>
      <w:specVanish w:val="0"/>
    </w:rPr>
  </w:style>
  <w:style w:type="paragraph" w:styleId="Caption">
    <w:name w:val="caption"/>
    <w:basedOn w:val="Normal"/>
    <w:next w:val="Normal"/>
    <w:qFormat/>
    <w:rsid w:val="00E51545"/>
    <w:pPr>
      <w:spacing w:after="180" w:line="240" w:lineRule="auto"/>
      <w:jc w:val="both"/>
    </w:pPr>
    <w:rPr>
      <w:rFonts w:ascii="Garamond" w:eastAsia="SimSun" w:hAnsi="Garamond" w:cs="Times New Roman"/>
      <w:b/>
      <w:bCs/>
      <w:sz w:val="20"/>
      <w:szCs w:val="20"/>
      <w:lang w:val="en-US"/>
    </w:rPr>
  </w:style>
  <w:style w:type="paragraph" w:styleId="Index1">
    <w:name w:val="index 1"/>
    <w:basedOn w:val="Normal"/>
    <w:next w:val="Normal"/>
    <w:autoRedefine/>
    <w:semiHidden/>
    <w:rsid w:val="00E51545"/>
    <w:pPr>
      <w:spacing w:after="180" w:line="240" w:lineRule="auto"/>
      <w:ind w:left="230" w:hanging="230"/>
      <w:jc w:val="both"/>
    </w:pPr>
    <w:rPr>
      <w:rFonts w:ascii="Garamond" w:eastAsia="SimSun" w:hAnsi="Garamond" w:cs="Times New Roman"/>
      <w:sz w:val="23"/>
      <w:szCs w:val="24"/>
      <w:lang w:val="en-US"/>
    </w:rPr>
  </w:style>
  <w:style w:type="paragraph" w:customStyle="1" w:styleId="table-heading">
    <w:name w:val="table-heading"/>
    <w:basedOn w:val="Normal"/>
    <w:link w:val="table-headingChar"/>
    <w:rsid w:val="00E51545"/>
    <w:pPr>
      <w:autoSpaceDE w:val="0"/>
      <w:autoSpaceDN w:val="0"/>
      <w:adjustRightInd w:val="0"/>
      <w:spacing w:beforeLines="20" w:before="48" w:afterLines="20" w:after="48" w:line="240" w:lineRule="auto"/>
    </w:pPr>
    <w:rPr>
      <w:rFonts w:ascii="Calibri" w:eastAsia="SimSun" w:hAnsi="Calibri" w:cs="Times New Roman"/>
      <w:b/>
      <w:bCs/>
      <w:color w:val="FFFFFF"/>
      <w:sz w:val="20"/>
      <w:szCs w:val="20"/>
      <w:lang w:val="en-US"/>
    </w:rPr>
  </w:style>
  <w:style w:type="character" w:customStyle="1" w:styleId="table-headingChar">
    <w:name w:val="table-heading Char"/>
    <w:link w:val="table-heading"/>
    <w:rsid w:val="00E51545"/>
    <w:rPr>
      <w:rFonts w:ascii="Calibri" w:eastAsia="SimSun" w:hAnsi="Calibri" w:cs="Times New Roman"/>
      <w:b/>
      <w:bCs/>
      <w:color w:val="FFFFFF"/>
      <w:sz w:val="20"/>
      <w:szCs w:val="20"/>
      <w:lang w:val="en-US"/>
    </w:rPr>
  </w:style>
  <w:style w:type="paragraph" w:customStyle="1" w:styleId="Table-bulletedlist">
    <w:name w:val="Table-bulleted list"/>
    <w:basedOn w:val="Normal"/>
    <w:rsid w:val="00E51545"/>
    <w:pPr>
      <w:numPr>
        <w:numId w:val="2"/>
      </w:numPr>
      <w:tabs>
        <w:tab w:val="clear" w:pos="720"/>
        <w:tab w:val="num" w:pos="252"/>
      </w:tabs>
      <w:autoSpaceDE w:val="0"/>
      <w:autoSpaceDN w:val="0"/>
      <w:adjustRightInd w:val="0"/>
      <w:spacing w:beforeLines="20" w:before="48" w:afterLines="20" w:after="48" w:line="240" w:lineRule="auto"/>
      <w:ind w:left="279" w:hanging="222"/>
    </w:pPr>
    <w:rPr>
      <w:rFonts w:ascii="Calibri" w:eastAsia="SimSun" w:hAnsi="Calibri" w:cs="LaikaFM-BookRoman"/>
      <w:sz w:val="18"/>
      <w:szCs w:val="18"/>
      <w:lang w:val="en-US"/>
    </w:rPr>
  </w:style>
  <w:style w:type="paragraph" w:customStyle="1" w:styleId="Style1">
    <w:name w:val="Style1"/>
    <w:basedOn w:val="Normal"/>
    <w:rsid w:val="00E51545"/>
    <w:pPr>
      <w:tabs>
        <w:tab w:val="num" w:pos="252"/>
      </w:tabs>
      <w:autoSpaceDE w:val="0"/>
      <w:autoSpaceDN w:val="0"/>
      <w:adjustRightInd w:val="0"/>
      <w:spacing w:beforeLines="20" w:before="48" w:afterLines="20" w:after="48" w:line="240" w:lineRule="auto"/>
      <w:ind w:left="720" w:hanging="648"/>
    </w:pPr>
    <w:rPr>
      <w:rFonts w:ascii="Calibri" w:eastAsia="SimSun" w:hAnsi="Calibri" w:cs="LaikaFM-BookRoman"/>
      <w:sz w:val="18"/>
      <w:szCs w:val="18"/>
      <w:lang w:val="en-US"/>
    </w:rPr>
  </w:style>
  <w:style w:type="paragraph" w:customStyle="1" w:styleId="Heading-Annexa">
    <w:name w:val="Heading-Annexa"/>
    <w:basedOn w:val="Heading-3"/>
    <w:rsid w:val="00E51545"/>
    <w:pPr>
      <w:pBdr>
        <w:bottom w:val="none" w:sz="0" w:space="0" w:color="auto"/>
      </w:pBdr>
    </w:pPr>
  </w:style>
  <w:style w:type="paragraph" w:customStyle="1" w:styleId="table-headingblack">
    <w:name w:val="table-heading(black)"/>
    <w:basedOn w:val="table-heading"/>
    <w:link w:val="table-headingblackChar"/>
    <w:rsid w:val="00E51545"/>
  </w:style>
  <w:style w:type="character" w:customStyle="1" w:styleId="table-headingblackChar">
    <w:name w:val="table-heading(black) Char"/>
    <w:basedOn w:val="table-headingChar"/>
    <w:link w:val="table-headingblack"/>
    <w:rsid w:val="00E51545"/>
    <w:rPr>
      <w:rFonts w:ascii="Calibri" w:eastAsia="SimSun" w:hAnsi="Calibri" w:cs="Times New Roman"/>
      <w:b/>
      <w:bCs/>
      <w:color w:val="FFFFFF"/>
      <w:sz w:val="20"/>
      <w:szCs w:val="20"/>
      <w:lang w:val="en-US"/>
    </w:rPr>
  </w:style>
  <w:style w:type="paragraph" w:customStyle="1" w:styleId="table-title">
    <w:name w:val="table - title"/>
    <w:basedOn w:val="Normal"/>
    <w:rsid w:val="00E51545"/>
    <w:pPr>
      <w:spacing w:after="0" w:line="240" w:lineRule="auto"/>
    </w:pPr>
    <w:rPr>
      <w:rFonts w:ascii="Cambria" w:eastAsia="SimSun" w:hAnsi="Cambria" w:cs="Times New Roman"/>
      <w:i/>
      <w:iCs/>
      <w:color w:val="003366"/>
      <w:lang w:val="en-US"/>
    </w:rPr>
  </w:style>
  <w:style w:type="paragraph" w:customStyle="1" w:styleId="table-title0">
    <w:name w:val="table-title"/>
    <w:basedOn w:val="Normal"/>
    <w:link w:val="table-titleChar"/>
    <w:rsid w:val="00E51545"/>
    <w:pPr>
      <w:spacing w:after="0" w:line="240" w:lineRule="auto"/>
    </w:pPr>
    <w:rPr>
      <w:rFonts w:ascii="Cambria" w:eastAsia="SimSun" w:hAnsi="Cambria" w:cs="Times New Roman"/>
      <w:color w:val="003366"/>
      <w:lang w:val="en-US"/>
    </w:rPr>
  </w:style>
  <w:style w:type="character" w:customStyle="1" w:styleId="table-titleChar">
    <w:name w:val="table-title Char"/>
    <w:link w:val="table-title0"/>
    <w:rsid w:val="00E51545"/>
    <w:rPr>
      <w:rFonts w:ascii="Cambria" w:eastAsia="SimSun" w:hAnsi="Cambria" w:cs="Times New Roman"/>
      <w:color w:val="003366"/>
      <w:lang w:val="en-US"/>
    </w:rPr>
  </w:style>
  <w:style w:type="paragraph" w:styleId="ListParagraph">
    <w:name w:val="List Paragraph"/>
    <w:basedOn w:val="Normal"/>
    <w:uiPriority w:val="34"/>
    <w:qFormat/>
    <w:rsid w:val="00E51545"/>
    <w:pPr>
      <w:ind w:left="720"/>
      <w:contextualSpacing/>
    </w:pPr>
    <w:rPr>
      <w:rFonts w:ascii="Calibri" w:eastAsia="SimSun" w:hAnsi="Calibri" w:cs="Arial"/>
    </w:rPr>
  </w:style>
  <w:style w:type="character" w:customStyle="1" w:styleId="tagline2">
    <w:name w:val="tagline2"/>
    <w:rsid w:val="00E51545"/>
  </w:style>
  <w:style w:type="table" w:styleId="TableClassic1">
    <w:name w:val="Table Classic 1"/>
    <w:basedOn w:val="TableNormal"/>
    <w:rsid w:val="00E51545"/>
    <w:pPr>
      <w:spacing w:after="0" w:line="240" w:lineRule="auto"/>
    </w:pPr>
    <w:rPr>
      <w:rFonts w:ascii="Times New Roman" w:eastAsia="SimSu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edlist">
    <w:name w:val="Bulleted list"/>
    <w:basedOn w:val="Normal"/>
    <w:qFormat/>
    <w:rsid w:val="00E51545"/>
    <w:pPr>
      <w:numPr>
        <w:numId w:val="1"/>
      </w:numPr>
      <w:tabs>
        <w:tab w:val="clear" w:pos="720"/>
      </w:tabs>
      <w:spacing w:before="120" w:after="120" w:line="240" w:lineRule="auto"/>
      <w:ind w:left="357" w:hanging="357"/>
    </w:pPr>
    <w:rPr>
      <w:rFonts w:eastAsiaTheme="minorHAnsi" w:cstheme="minorHAnsi"/>
      <w:color w:val="000000" w:themeColor="text1"/>
      <w:lang w:eastAsia="en-US"/>
    </w:rPr>
  </w:style>
  <w:style w:type="paragraph" w:customStyle="1" w:styleId="Tablesub-heading">
    <w:name w:val="Table sub-heading"/>
    <w:basedOn w:val="Normal"/>
    <w:next w:val="Normal"/>
    <w:qFormat/>
    <w:rsid w:val="00FB47A2"/>
    <w:pPr>
      <w:shd w:val="clear" w:color="auto" w:fill="DDE5EF"/>
      <w:spacing w:after="120" w:line="240" w:lineRule="auto"/>
    </w:pPr>
    <w:rPr>
      <w:rFonts w:ascii="Arial Narrow" w:hAnsi="Arial Narrow" w:cs="Calibri"/>
      <w:b/>
      <w:bCs/>
      <w:noProof/>
      <w:color w:val="5480B0"/>
      <w:sz w:val="20"/>
      <w:szCs w:val="20"/>
    </w:rPr>
  </w:style>
  <w:style w:type="paragraph" w:customStyle="1" w:styleId="font5">
    <w:name w:val="font5"/>
    <w:basedOn w:val="Normal"/>
    <w:rsid w:val="00254C15"/>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254C15"/>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7">
    <w:name w:val="font7"/>
    <w:basedOn w:val="Normal"/>
    <w:rsid w:val="00254C15"/>
    <w:pPr>
      <w:spacing w:before="100" w:beforeAutospacing="1" w:after="100" w:afterAutospacing="1" w:line="240" w:lineRule="auto"/>
    </w:pPr>
    <w:rPr>
      <w:rFonts w:ascii="Calibri" w:eastAsia="Times New Roman" w:hAnsi="Calibri" w:cs="Calibri"/>
      <w:color w:val="00B050"/>
      <w:sz w:val="20"/>
      <w:szCs w:val="20"/>
    </w:rPr>
  </w:style>
  <w:style w:type="paragraph" w:customStyle="1" w:styleId="font8">
    <w:name w:val="font8"/>
    <w:basedOn w:val="Normal"/>
    <w:rsid w:val="00254C15"/>
    <w:pPr>
      <w:spacing w:before="100" w:beforeAutospacing="1" w:after="100" w:afterAutospacing="1" w:line="240" w:lineRule="auto"/>
    </w:pPr>
    <w:rPr>
      <w:rFonts w:ascii="Calibri" w:eastAsia="Times New Roman" w:hAnsi="Calibri" w:cs="Calibri"/>
      <w:sz w:val="20"/>
      <w:szCs w:val="20"/>
    </w:rPr>
  </w:style>
  <w:style w:type="paragraph" w:customStyle="1" w:styleId="font9">
    <w:name w:val="font9"/>
    <w:basedOn w:val="Normal"/>
    <w:rsid w:val="00254C15"/>
    <w:pPr>
      <w:spacing w:before="100" w:beforeAutospacing="1" w:after="100" w:afterAutospacing="1" w:line="240" w:lineRule="auto"/>
    </w:pPr>
    <w:rPr>
      <w:rFonts w:ascii="Calibri" w:eastAsia="Times New Roman" w:hAnsi="Calibri" w:cs="Calibri"/>
      <w:color w:val="FF0000"/>
      <w:sz w:val="20"/>
      <w:szCs w:val="20"/>
    </w:rPr>
  </w:style>
  <w:style w:type="paragraph" w:customStyle="1" w:styleId="font10">
    <w:name w:val="font10"/>
    <w:basedOn w:val="Normal"/>
    <w:rsid w:val="00254C15"/>
    <w:pPr>
      <w:spacing w:before="100" w:beforeAutospacing="1" w:after="100" w:afterAutospacing="1" w:line="240" w:lineRule="auto"/>
    </w:pPr>
    <w:rPr>
      <w:rFonts w:ascii="Calibri" w:eastAsia="Times New Roman" w:hAnsi="Calibri" w:cs="Calibri"/>
      <w:sz w:val="20"/>
      <w:szCs w:val="20"/>
    </w:rPr>
  </w:style>
  <w:style w:type="paragraph" w:customStyle="1" w:styleId="xl63">
    <w:name w:val="xl63"/>
    <w:basedOn w:val="Normal"/>
    <w:rsid w:val="00254C15"/>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4">
    <w:name w:val="xl64"/>
    <w:basedOn w:val="Normal"/>
    <w:rsid w:val="00254C15"/>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Normal"/>
    <w:rsid w:val="00254C15"/>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6">
    <w:name w:val="xl66"/>
    <w:basedOn w:val="Normal"/>
    <w:rsid w:val="00254C15"/>
    <w:pPr>
      <w:spacing w:before="100" w:beforeAutospacing="1" w:after="100" w:afterAutospacing="1" w:line="240" w:lineRule="auto"/>
      <w:textAlignment w:val="top"/>
    </w:pPr>
    <w:rPr>
      <w:rFonts w:ascii="Times New Roman" w:eastAsia="Times New Roman" w:hAnsi="Times New Roman" w:cs="Times New Roman"/>
      <w:color w:val="FF0000"/>
      <w:sz w:val="20"/>
      <w:szCs w:val="20"/>
    </w:rPr>
  </w:style>
  <w:style w:type="paragraph" w:customStyle="1" w:styleId="xl67">
    <w:name w:val="xl67"/>
    <w:basedOn w:val="Normal"/>
    <w:rsid w:val="00254C15"/>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8">
    <w:name w:val="xl68"/>
    <w:basedOn w:val="Normal"/>
    <w:rsid w:val="00254C1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top"/>
    </w:pPr>
    <w:rPr>
      <w:rFonts w:ascii="Times New Roman" w:eastAsia="Times New Roman" w:hAnsi="Times New Roman" w:cs="Times New Roman"/>
      <w:b/>
      <w:bCs/>
      <w:color w:val="FFFFFF"/>
      <w:sz w:val="20"/>
      <w:szCs w:val="20"/>
    </w:rPr>
  </w:style>
  <w:style w:type="paragraph" w:customStyle="1" w:styleId="xl69">
    <w:name w:val="xl69"/>
    <w:basedOn w:val="Normal"/>
    <w:rsid w:val="00254C1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0">
    <w:name w:val="xl70"/>
    <w:basedOn w:val="Normal"/>
    <w:rsid w:val="00254C1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1">
    <w:name w:val="xl71"/>
    <w:basedOn w:val="Normal"/>
    <w:rsid w:val="00254C15"/>
    <w:pPr>
      <w:pBdr>
        <w:top w:val="single" w:sz="4" w:space="0" w:color="auto"/>
        <w:left w:val="single" w:sz="4" w:space="0" w:color="auto"/>
        <w:bottom w:val="single" w:sz="4" w:space="0" w:color="auto"/>
        <w:right w:val="single" w:sz="4" w:space="0" w:color="auto"/>
      </w:pBdr>
      <w:shd w:val="clear" w:color="000000" w:fill="FFF8DE"/>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2">
    <w:name w:val="xl72"/>
    <w:basedOn w:val="Normal"/>
    <w:rsid w:val="00254C15"/>
    <w:pPr>
      <w:pBdr>
        <w:top w:val="single" w:sz="4" w:space="0" w:color="auto"/>
        <w:left w:val="single" w:sz="4" w:space="0" w:color="auto"/>
        <w:bottom w:val="single" w:sz="4" w:space="0" w:color="auto"/>
        <w:right w:val="single" w:sz="4" w:space="0" w:color="auto"/>
      </w:pBdr>
      <w:shd w:val="clear" w:color="000000" w:fill="E5DCF4"/>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IndicatorName">
    <w:name w:val="IndicatorName"/>
    <w:qFormat/>
    <w:rsid w:val="004F0EE6"/>
    <w:pPr>
      <w:framePr w:hSpace="180" w:wrap="around" w:vAnchor="text" w:hAnchor="margin" w:y="86"/>
      <w:spacing w:beforeLines="20" w:before="48" w:after="20" w:line="240" w:lineRule="auto"/>
    </w:pPr>
    <w:rPr>
      <w:rFonts w:ascii="Arial Narrow" w:eastAsia="TT15Ct00" w:hAnsi="Arial Narrow" w:cstheme="minorHAnsi"/>
      <w:b/>
      <w:bCs/>
      <w:color w:val="003366"/>
      <w:sz w:val="20"/>
      <w:lang w:eastAsia="en-US"/>
    </w:rPr>
  </w:style>
  <w:style w:type="paragraph" w:customStyle="1" w:styleId="IndicatorText">
    <w:name w:val="IndicatorText"/>
    <w:basedOn w:val="Normal"/>
    <w:qFormat/>
    <w:rsid w:val="00FC4C37"/>
    <w:pPr>
      <w:framePr w:hSpace="180" w:wrap="around" w:vAnchor="text" w:hAnchor="margin" w:y="86"/>
      <w:autoSpaceDE w:val="0"/>
      <w:autoSpaceDN w:val="0"/>
      <w:adjustRightInd w:val="0"/>
      <w:spacing w:before="80" w:after="80" w:line="240" w:lineRule="auto"/>
    </w:pPr>
    <w:rPr>
      <w:rFonts w:eastAsia="TT15Ct00" w:cstheme="minorHAnsi"/>
      <w:color w:val="000000" w:themeColor="text1"/>
      <w:sz w:val="16"/>
      <w:szCs w:val="18"/>
      <w:lang w:eastAsia="en-US"/>
    </w:rPr>
  </w:style>
  <w:style w:type="paragraph" w:styleId="TOC4">
    <w:name w:val="toc 4"/>
    <w:basedOn w:val="Normal"/>
    <w:next w:val="Normal"/>
    <w:autoRedefine/>
    <w:uiPriority w:val="39"/>
    <w:unhideWhenUsed/>
    <w:rsid w:val="00FF2722"/>
    <w:pPr>
      <w:spacing w:after="100"/>
      <w:ind w:left="660"/>
    </w:pPr>
  </w:style>
  <w:style w:type="paragraph" w:styleId="TOC5">
    <w:name w:val="toc 5"/>
    <w:basedOn w:val="Normal"/>
    <w:next w:val="Normal"/>
    <w:autoRedefine/>
    <w:uiPriority w:val="39"/>
    <w:unhideWhenUsed/>
    <w:rsid w:val="00FF2722"/>
    <w:pPr>
      <w:spacing w:after="100"/>
      <w:ind w:left="880"/>
    </w:pPr>
  </w:style>
  <w:style w:type="paragraph" w:styleId="TOC6">
    <w:name w:val="toc 6"/>
    <w:basedOn w:val="Normal"/>
    <w:next w:val="Normal"/>
    <w:autoRedefine/>
    <w:uiPriority w:val="39"/>
    <w:unhideWhenUsed/>
    <w:rsid w:val="00FF2722"/>
    <w:pPr>
      <w:spacing w:after="100"/>
      <w:ind w:left="1100"/>
    </w:pPr>
  </w:style>
  <w:style w:type="paragraph" w:styleId="TOC7">
    <w:name w:val="toc 7"/>
    <w:basedOn w:val="Normal"/>
    <w:next w:val="Normal"/>
    <w:autoRedefine/>
    <w:uiPriority w:val="39"/>
    <w:unhideWhenUsed/>
    <w:rsid w:val="00FF2722"/>
    <w:pPr>
      <w:spacing w:after="100"/>
      <w:ind w:left="1320"/>
    </w:pPr>
  </w:style>
  <w:style w:type="paragraph" w:styleId="TOC8">
    <w:name w:val="toc 8"/>
    <w:basedOn w:val="Normal"/>
    <w:next w:val="Normal"/>
    <w:autoRedefine/>
    <w:uiPriority w:val="39"/>
    <w:unhideWhenUsed/>
    <w:rsid w:val="00FF2722"/>
    <w:pPr>
      <w:spacing w:after="100"/>
      <w:ind w:left="1540"/>
    </w:pPr>
  </w:style>
  <w:style w:type="paragraph" w:styleId="TOC9">
    <w:name w:val="toc 9"/>
    <w:basedOn w:val="Normal"/>
    <w:next w:val="Normal"/>
    <w:autoRedefine/>
    <w:uiPriority w:val="39"/>
    <w:unhideWhenUsed/>
    <w:rsid w:val="00FF2722"/>
    <w:pPr>
      <w:spacing w:after="100"/>
      <w:ind w:left="17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0" w:unhideWhenUsed="0" w:qFormat="1"/>
    <w:lsdException w:name="Emphasis" w:semiHidden="0" w:uiPriority="0" w:unhideWhenUsed="0" w:qFormat="1"/>
    <w:lsdException w:name="Document Map"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67BE"/>
    <w:pPr>
      <w:shd w:val="clear" w:color="auto" w:fill="6F94BD"/>
      <w:snapToGrid w:val="0"/>
      <w:spacing w:before="360" w:after="360"/>
      <w:outlineLvl w:val="0"/>
    </w:pPr>
    <w:rPr>
      <w:rFonts w:ascii="Arial Narrow" w:eastAsia="SimSun" w:hAnsi="Arial Narrow" w:cs="Calibri"/>
      <w:b/>
      <w:color w:val="FFFFFF" w:themeColor="background1"/>
      <w:sz w:val="28"/>
      <w:szCs w:val="28"/>
    </w:rPr>
  </w:style>
  <w:style w:type="paragraph" w:styleId="Heading2">
    <w:name w:val="heading 2"/>
    <w:basedOn w:val="Normal"/>
    <w:next w:val="Normal"/>
    <w:link w:val="Heading2Char1"/>
    <w:uiPriority w:val="9"/>
    <w:qFormat/>
    <w:rsid w:val="00E51545"/>
    <w:pPr>
      <w:keepNext/>
      <w:spacing w:before="240" w:after="240" w:line="240" w:lineRule="auto"/>
      <w:outlineLvl w:val="1"/>
    </w:pPr>
    <w:rPr>
      <w:rFonts w:ascii="Arial Narrow" w:eastAsia="SimSun" w:hAnsi="Arial Narrow" w:cs="Arial"/>
      <w:b/>
      <w:bCs/>
      <w:color w:val="5480B0"/>
      <w:sz w:val="28"/>
      <w:szCs w:val="28"/>
      <w:lang w:val="fr-FR"/>
    </w:rPr>
  </w:style>
  <w:style w:type="paragraph" w:styleId="Heading3">
    <w:name w:val="heading 3"/>
    <w:basedOn w:val="Heading-3"/>
    <w:next w:val="Normal"/>
    <w:link w:val="Heading3Char"/>
    <w:uiPriority w:val="9"/>
    <w:qFormat/>
    <w:rsid w:val="00E51545"/>
    <w:pPr>
      <w:outlineLvl w:val="2"/>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67BE"/>
    <w:rPr>
      <w:rFonts w:ascii="Arial Narrow" w:eastAsia="SimSun" w:hAnsi="Arial Narrow" w:cs="Calibri"/>
      <w:b/>
      <w:color w:val="FFFFFF" w:themeColor="background1"/>
      <w:sz w:val="28"/>
      <w:szCs w:val="28"/>
      <w:shd w:val="clear" w:color="auto" w:fill="6F94BD"/>
    </w:rPr>
  </w:style>
  <w:style w:type="character" w:customStyle="1" w:styleId="Heading2Char1">
    <w:name w:val="Heading 2 Char1"/>
    <w:link w:val="Heading2"/>
    <w:rsid w:val="00E51545"/>
    <w:rPr>
      <w:rFonts w:ascii="Arial Narrow" w:eastAsia="SimSun" w:hAnsi="Arial Narrow" w:cs="Arial"/>
      <w:b/>
      <w:bCs/>
      <w:color w:val="5480B0"/>
      <w:sz w:val="28"/>
      <w:szCs w:val="28"/>
      <w:lang w:val="fr-FR"/>
    </w:rPr>
  </w:style>
  <w:style w:type="paragraph" w:customStyle="1" w:styleId="Heading-3">
    <w:name w:val="Heading-3"/>
    <w:basedOn w:val="Default"/>
    <w:rsid w:val="00E51545"/>
    <w:pPr>
      <w:pBdr>
        <w:bottom w:val="dotted" w:sz="4" w:space="1" w:color="5480B0"/>
      </w:pBdr>
      <w:spacing w:before="240"/>
    </w:pPr>
    <w:rPr>
      <w:rFonts w:ascii="Cambria" w:hAnsi="Cambria"/>
      <w:b/>
      <w:bCs/>
      <w:i/>
      <w:iCs/>
      <w:color w:val="5480B0"/>
    </w:rPr>
  </w:style>
  <w:style w:type="paragraph" w:customStyle="1" w:styleId="Default">
    <w:name w:val="Default"/>
    <w:link w:val="DefaultChar"/>
    <w:rsid w:val="00E51545"/>
    <w:pPr>
      <w:autoSpaceDE w:val="0"/>
      <w:autoSpaceDN w:val="0"/>
      <w:adjustRightInd w:val="0"/>
      <w:spacing w:after="120" w:line="240" w:lineRule="auto"/>
    </w:pPr>
    <w:rPr>
      <w:rFonts w:ascii="Calibri" w:eastAsia="SimSun" w:hAnsi="Calibri" w:cs="Calibri"/>
      <w:color w:val="000000"/>
      <w:lang w:val="en-US"/>
    </w:rPr>
  </w:style>
  <w:style w:type="character" w:customStyle="1" w:styleId="DefaultChar">
    <w:name w:val="Default Char"/>
    <w:link w:val="Default"/>
    <w:rsid w:val="00E51545"/>
    <w:rPr>
      <w:rFonts w:ascii="Calibri" w:eastAsia="SimSun" w:hAnsi="Calibri" w:cs="Calibri"/>
      <w:color w:val="000000"/>
      <w:lang w:val="en-US"/>
    </w:rPr>
  </w:style>
  <w:style w:type="character" w:customStyle="1" w:styleId="Heading3Char">
    <w:name w:val="Heading 3 Char"/>
    <w:basedOn w:val="DefaultParagraphFont"/>
    <w:link w:val="Heading3"/>
    <w:uiPriority w:val="9"/>
    <w:rsid w:val="00E51545"/>
    <w:rPr>
      <w:rFonts w:ascii="Calibri" w:eastAsia="SimSun" w:hAnsi="Calibri" w:cs="Calibri"/>
      <w:b/>
      <w:bCs/>
      <w:i/>
      <w:iCs/>
      <w:color w:val="5480B0"/>
      <w:lang w:val="en-US"/>
    </w:rPr>
  </w:style>
  <w:style w:type="paragraph" w:customStyle="1" w:styleId="Heading-1">
    <w:name w:val="Heading-1"/>
    <w:basedOn w:val="Heading1"/>
    <w:rsid w:val="00E51545"/>
    <w:pPr>
      <w:spacing w:before="0"/>
    </w:pPr>
    <w:rPr>
      <w:rFonts w:ascii="Cambria" w:hAnsi="Cambria"/>
      <w:b w:val="0"/>
      <w:color w:val="003366"/>
      <w:sz w:val="36"/>
      <w:szCs w:val="36"/>
    </w:rPr>
  </w:style>
  <w:style w:type="paragraph" w:styleId="Date">
    <w:name w:val="Date"/>
    <w:basedOn w:val="Normal"/>
    <w:next w:val="Normal"/>
    <w:link w:val="DateChar"/>
    <w:unhideWhenUsed/>
    <w:rsid w:val="00E51545"/>
  </w:style>
  <w:style w:type="character" w:customStyle="1" w:styleId="DateChar">
    <w:name w:val="Date Char"/>
    <w:basedOn w:val="DefaultParagraphFont"/>
    <w:link w:val="Date"/>
    <w:uiPriority w:val="99"/>
    <w:semiHidden/>
    <w:rsid w:val="00E51545"/>
  </w:style>
  <w:style w:type="paragraph" w:styleId="BalloonText">
    <w:name w:val="Balloon Text"/>
    <w:basedOn w:val="Normal"/>
    <w:link w:val="BalloonTextChar"/>
    <w:uiPriority w:val="99"/>
    <w:semiHidden/>
    <w:unhideWhenUsed/>
    <w:rsid w:val="00E515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1545"/>
    <w:rPr>
      <w:rFonts w:ascii="Tahoma" w:hAnsi="Tahoma" w:cs="Tahoma"/>
      <w:sz w:val="16"/>
      <w:szCs w:val="16"/>
    </w:rPr>
  </w:style>
  <w:style w:type="character" w:customStyle="1" w:styleId="Heading2Char">
    <w:name w:val="Heading 2 Char"/>
    <w:basedOn w:val="DefaultParagraphFont"/>
    <w:uiPriority w:val="9"/>
    <w:rsid w:val="00E51545"/>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2"/>
    <w:uiPriority w:val="99"/>
    <w:rsid w:val="00E51545"/>
    <w:pPr>
      <w:spacing w:after="180" w:line="240" w:lineRule="auto"/>
      <w:jc w:val="both"/>
    </w:pPr>
    <w:rPr>
      <w:rFonts w:ascii="Garamond" w:eastAsia="SimSun" w:hAnsi="Garamond" w:cs="Times New Roman"/>
      <w:sz w:val="20"/>
      <w:szCs w:val="20"/>
      <w:lang w:val="en-US"/>
    </w:rPr>
  </w:style>
  <w:style w:type="character" w:customStyle="1" w:styleId="FootnoteTextChar2">
    <w:name w:val="Footnote Text Char2"/>
    <w:link w:val="FootnoteText"/>
    <w:rsid w:val="00E51545"/>
    <w:rPr>
      <w:rFonts w:ascii="Garamond" w:eastAsia="SimSun" w:hAnsi="Garamond" w:cs="Times New Roman"/>
      <w:sz w:val="20"/>
      <w:szCs w:val="20"/>
      <w:lang w:val="en-US"/>
    </w:rPr>
  </w:style>
  <w:style w:type="character" w:customStyle="1" w:styleId="FootnoteTextChar">
    <w:name w:val="Footnote Text Char"/>
    <w:basedOn w:val="DefaultParagraphFont"/>
    <w:rsid w:val="00B867BE"/>
    <w:rPr>
      <w:sz w:val="16"/>
      <w:szCs w:val="20"/>
    </w:rPr>
  </w:style>
  <w:style w:type="character" w:styleId="FootnoteReference">
    <w:name w:val="footnote reference"/>
    <w:aliases w:val="样式程脚注引用,ftref,Footnotes refss,16 Point,Superscript 6 Point,Знак сноски 1,Footnote text,fr,(NECG) Footnote Reference,Footnote + Arial,10 pt,Black"/>
    <w:uiPriority w:val="99"/>
    <w:rsid w:val="00E51545"/>
    <w:rPr>
      <w:vertAlign w:val="superscript"/>
    </w:rPr>
  </w:style>
  <w:style w:type="character" w:styleId="Hyperlink">
    <w:name w:val="Hyperlink"/>
    <w:uiPriority w:val="99"/>
    <w:rsid w:val="00E51545"/>
    <w:rPr>
      <w:color w:val="0000FF"/>
      <w:u w:val="single"/>
    </w:rPr>
  </w:style>
  <w:style w:type="paragraph" w:customStyle="1" w:styleId="BulletedList0">
    <w:name w:val="BulletedList"/>
    <w:basedOn w:val="Normal"/>
    <w:link w:val="BulletedListChar"/>
    <w:rsid w:val="00E51545"/>
    <w:pPr>
      <w:spacing w:after="120" w:line="240" w:lineRule="auto"/>
    </w:pPr>
    <w:rPr>
      <w:rFonts w:ascii="Cambria" w:eastAsia="SimSun" w:hAnsi="Cambria" w:cs="Times New Roman"/>
    </w:rPr>
  </w:style>
  <w:style w:type="character" w:customStyle="1" w:styleId="BulletedListChar">
    <w:name w:val="BulletedList Char"/>
    <w:link w:val="BulletedList0"/>
    <w:rsid w:val="00E51545"/>
    <w:rPr>
      <w:rFonts w:ascii="Cambria" w:eastAsia="SimSun" w:hAnsi="Cambria" w:cs="Times New Roman"/>
    </w:rPr>
  </w:style>
  <w:style w:type="table" w:styleId="TableGrid">
    <w:name w:val="Table Grid"/>
    <w:basedOn w:val="TableNormal"/>
    <w:uiPriority w:val="59"/>
    <w:rsid w:val="00E51545"/>
    <w:pPr>
      <w:spacing w:after="18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E51545"/>
    <w:pPr>
      <w:jc w:val="both"/>
    </w:pPr>
    <w:rPr>
      <w:rFonts w:ascii="Calibri" w:eastAsia="Times New Roman" w:hAnsi="Calibri" w:cs="Arial"/>
      <w:sz w:val="20"/>
      <w:szCs w:val="20"/>
      <w:lang w:val="en-US" w:eastAsia="en-US"/>
    </w:rPr>
  </w:style>
  <w:style w:type="character" w:customStyle="1" w:styleId="EndnoteTextChar">
    <w:name w:val="Endnote Text Char"/>
    <w:basedOn w:val="DefaultParagraphFont"/>
    <w:link w:val="EndnoteText"/>
    <w:semiHidden/>
    <w:rsid w:val="00E51545"/>
    <w:rPr>
      <w:rFonts w:ascii="Calibri" w:eastAsia="Times New Roman" w:hAnsi="Calibri" w:cs="Arial"/>
      <w:sz w:val="20"/>
      <w:szCs w:val="20"/>
      <w:lang w:val="en-US" w:eastAsia="en-US"/>
    </w:rPr>
  </w:style>
  <w:style w:type="character" w:styleId="EndnoteReference">
    <w:name w:val="endnote reference"/>
    <w:semiHidden/>
    <w:rsid w:val="00E51545"/>
    <w:rPr>
      <w:vertAlign w:val="superscript"/>
    </w:rPr>
  </w:style>
  <w:style w:type="character" w:styleId="CommentReference">
    <w:name w:val="annotation reference"/>
    <w:uiPriority w:val="99"/>
    <w:rsid w:val="00E51545"/>
    <w:rPr>
      <w:sz w:val="16"/>
      <w:szCs w:val="16"/>
    </w:rPr>
  </w:style>
  <w:style w:type="paragraph" w:styleId="CommentText">
    <w:name w:val="annotation text"/>
    <w:basedOn w:val="Normal"/>
    <w:link w:val="CommentTextChar"/>
    <w:uiPriority w:val="99"/>
    <w:rsid w:val="00E51545"/>
    <w:pPr>
      <w:spacing w:after="180" w:line="240" w:lineRule="auto"/>
      <w:jc w:val="both"/>
    </w:pPr>
    <w:rPr>
      <w:rFonts w:ascii="Garamond" w:eastAsia="SimSun" w:hAnsi="Garamond" w:cs="Times New Roman"/>
      <w:sz w:val="20"/>
      <w:szCs w:val="20"/>
      <w:lang w:val="en-US"/>
    </w:rPr>
  </w:style>
  <w:style w:type="character" w:customStyle="1" w:styleId="CommentTextChar">
    <w:name w:val="Comment Text Char"/>
    <w:basedOn w:val="DefaultParagraphFont"/>
    <w:link w:val="CommentText"/>
    <w:uiPriority w:val="99"/>
    <w:rsid w:val="00E51545"/>
    <w:rPr>
      <w:rFonts w:ascii="Garamond" w:eastAsia="SimSun" w:hAnsi="Garamond" w:cs="Times New Roman"/>
      <w:sz w:val="20"/>
      <w:szCs w:val="20"/>
      <w:lang w:val="en-US"/>
    </w:rPr>
  </w:style>
  <w:style w:type="paragraph" w:styleId="CommentSubject">
    <w:name w:val="annotation subject"/>
    <w:basedOn w:val="CommentText"/>
    <w:next w:val="CommentText"/>
    <w:link w:val="CommentSubjectChar"/>
    <w:uiPriority w:val="99"/>
    <w:semiHidden/>
    <w:rsid w:val="00E51545"/>
    <w:rPr>
      <w:b/>
      <w:bCs/>
    </w:rPr>
  </w:style>
  <w:style w:type="character" w:customStyle="1" w:styleId="CommentSubjectChar">
    <w:name w:val="Comment Subject Char"/>
    <w:basedOn w:val="CommentTextChar"/>
    <w:link w:val="CommentSubject"/>
    <w:uiPriority w:val="99"/>
    <w:semiHidden/>
    <w:rsid w:val="00E51545"/>
    <w:rPr>
      <w:rFonts w:ascii="Garamond" w:eastAsia="SimSun" w:hAnsi="Garamond" w:cs="Times New Roman"/>
      <w:b/>
      <w:bCs/>
      <w:sz w:val="20"/>
      <w:szCs w:val="20"/>
      <w:lang w:val="en-US"/>
    </w:rPr>
  </w:style>
  <w:style w:type="paragraph" w:styleId="DocumentMap">
    <w:name w:val="Document Map"/>
    <w:basedOn w:val="Normal"/>
    <w:link w:val="DocumentMapChar"/>
    <w:semiHidden/>
    <w:rsid w:val="00E51545"/>
    <w:pPr>
      <w:shd w:val="clear" w:color="auto" w:fill="000080"/>
      <w:spacing w:after="180" w:line="240" w:lineRule="auto"/>
      <w:jc w:val="both"/>
    </w:pPr>
    <w:rPr>
      <w:rFonts w:ascii="Tahoma" w:eastAsia="SimSun" w:hAnsi="Tahoma" w:cs="Tahoma"/>
      <w:sz w:val="20"/>
      <w:szCs w:val="20"/>
      <w:lang w:val="en-US"/>
    </w:rPr>
  </w:style>
  <w:style w:type="character" w:customStyle="1" w:styleId="DocumentMapChar">
    <w:name w:val="Document Map Char"/>
    <w:basedOn w:val="DefaultParagraphFont"/>
    <w:link w:val="DocumentMap"/>
    <w:semiHidden/>
    <w:rsid w:val="00E51545"/>
    <w:rPr>
      <w:rFonts w:ascii="Tahoma" w:eastAsia="SimSun" w:hAnsi="Tahoma" w:cs="Tahoma"/>
      <w:sz w:val="20"/>
      <w:szCs w:val="20"/>
      <w:shd w:val="clear" w:color="auto" w:fill="000080"/>
      <w:lang w:val="en-US"/>
    </w:rPr>
  </w:style>
  <w:style w:type="character" w:customStyle="1" w:styleId="CharChar">
    <w:name w:val="Char Char"/>
    <w:semiHidden/>
    <w:rsid w:val="00E51545"/>
    <w:rPr>
      <w:rFonts w:cs="Angsana New"/>
      <w:lang w:val="en-GB" w:eastAsia="zh-CN" w:bidi="ar-SA"/>
    </w:rPr>
  </w:style>
  <w:style w:type="paragraph" w:styleId="TOC1">
    <w:name w:val="toc 1"/>
    <w:basedOn w:val="Normal"/>
    <w:next w:val="Normal"/>
    <w:autoRedefine/>
    <w:uiPriority w:val="39"/>
    <w:rsid w:val="00FB230B"/>
    <w:pPr>
      <w:tabs>
        <w:tab w:val="right" w:leader="dot" w:pos="9628"/>
      </w:tabs>
      <w:spacing w:after="100" w:line="240" w:lineRule="auto"/>
      <w:ind w:left="284"/>
    </w:pPr>
    <w:rPr>
      <w:rFonts w:eastAsia="SimSun" w:cstheme="minorHAnsi"/>
      <w:b/>
      <w:bCs/>
      <w:noProof/>
      <w:color w:val="5480B0"/>
      <w:sz w:val="24"/>
      <w:szCs w:val="24"/>
      <w:lang w:val="en-US"/>
    </w:rPr>
  </w:style>
  <w:style w:type="paragraph" w:styleId="TOC2">
    <w:name w:val="toc 2"/>
    <w:basedOn w:val="Normal"/>
    <w:next w:val="Normal"/>
    <w:autoRedefine/>
    <w:uiPriority w:val="39"/>
    <w:rsid w:val="00D204E9"/>
    <w:pPr>
      <w:tabs>
        <w:tab w:val="right" w:leader="dot" w:pos="9639"/>
      </w:tabs>
      <w:spacing w:after="180" w:line="240" w:lineRule="auto"/>
      <w:ind w:left="220"/>
    </w:pPr>
    <w:rPr>
      <w:rFonts w:ascii="Calibri" w:eastAsia="SimSun" w:hAnsi="Calibri" w:cs="Times New Roman"/>
      <w:sz w:val="20"/>
      <w:szCs w:val="24"/>
      <w:lang w:val="en-US"/>
    </w:rPr>
  </w:style>
  <w:style w:type="paragraph" w:styleId="TOC3">
    <w:name w:val="toc 3"/>
    <w:basedOn w:val="Normal"/>
    <w:next w:val="Normal"/>
    <w:autoRedefine/>
    <w:uiPriority w:val="39"/>
    <w:rsid w:val="00E51545"/>
    <w:pPr>
      <w:spacing w:after="180" w:line="240" w:lineRule="auto"/>
      <w:ind w:left="440"/>
      <w:jc w:val="both"/>
    </w:pPr>
    <w:rPr>
      <w:rFonts w:ascii="Garamond" w:eastAsia="SimSun" w:hAnsi="Garamond" w:cs="Times New Roman"/>
      <w:sz w:val="23"/>
      <w:szCs w:val="24"/>
      <w:lang w:val="en-US"/>
    </w:rPr>
  </w:style>
  <w:style w:type="paragraph" w:customStyle="1" w:styleId="Heading-section">
    <w:name w:val="Heading-section"/>
    <w:basedOn w:val="Default"/>
    <w:rsid w:val="00E51545"/>
    <w:pPr>
      <w:shd w:val="clear" w:color="auto" w:fill="7699C0"/>
      <w:ind w:left="720" w:hanging="720"/>
    </w:pPr>
    <w:rPr>
      <w:rFonts w:ascii="Cambria" w:hAnsi="Cambria" w:cs="MyriadPro-Black"/>
      <w:b/>
      <w:bCs/>
      <w:color w:val="FFFFFF"/>
      <w:sz w:val="36"/>
      <w:szCs w:val="36"/>
    </w:rPr>
  </w:style>
  <w:style w:type="paragraph" w:customStyle="1" w:styleId="Heading-2">
    <w:name w:val="Heading-2"/>
    <w:basedOn w:val="Heading-1"/>
    <w:rsid w:val="00E51545"/>
    <w:rPr>
      <w:color w:val="5480B0"/>
      <w:sz w:val="28"/>
    </w:rPr>
  </w:style>
  <w:style w:type="paragraph" w:styleId="Header">
    <w:name w:val="header"/>
    <w:basedOn w:val="Normal"/>
    <w:link w:val="HeaderChar"/>
    <w:uiPriority w:val="99"/>
    <w:rsid w:val="00E51545"/>
    <w:pPr>
      <w:tabs>
        <w:tab w:val="center" w:pos="4320"/>
        <w:tab w:val="right" w:pos="8640"/>
      </w:tabs>
      <w:spacing w:after="180" w:line="240" w:lineRule="auto"/>
      <w:jc w:val="both"/>
    </w:pPr>
    <w:rPr>
      <w:rFonts w:ascii="Garamond" w:eastAsia="SimSun" w:hAnsi="Garamond" w:cs="Times New Roman"/>
      <w:sz w:val="23"/>
      <w:szCs w:val="24"/>
      <w:lang w:val="en-US"/>
    </w:rPr>
  </w:style>
  <w:style w:type="character" w:customStyle="1" w:styleId="HeaderChar">
    <w:name w:val="Header Char"/>
    <w:basedOn w:val="DefaultParagraphFont"/>
    <w:link w:val="Header"/>
    <w:uiPriority w:val="99"/>
    <w:rsid w:val="00E51545"/>
    <w:rPr>
      <w:rFonts w:ascii="Garamond" w:eastAsia="SimSun" w:hAnsi="Garamond" w:cs="Times New Roman"/>
      <w:sz w:val="23"/>
      <w:szCs w:val="24"/>
      <w:lang w:val="en-US"/>
    </w:rPr>
  </w:style>
  <w:style w:type="paragraph" w:styleId="Footer">
    <w:name w:val="footer"/>
    <w:basedOn w:val="Normal"/>
    <w:link w:val="FooterChar"/>
    <w:uiPriority w:val="99"/>
    <w:rsid w:val="00E51545"/>
    <w:pPr>
      <w:tabs>
        <w:tab w:val="center" w:pos="4320"/>
        <w:tab w:val="right" w:pos="8640"/>
      </w:tabs>
      <w:spacing w:after="180" w:line="240" w:lineRule="auto"/>
      <w:jc w:val="both"/>
    </w:pPr>
    <w:rPr>
      <w:rFonts w:ascii="Garamond" w:eastAsia="SimSun" w:hAnsi="Garamond" w:cs="Times New Roman"/>
      <w:sz w:val="23"/>
      <w:szCs w:val="24"/>
      <w:lang w:val="en-US"/>
    </w:rPr>
  </w:style>
  <w:style w:type="character" w:customStyle="1" w:styleId="FooterChar">
    <w:name w:val="Footer Char"/>
    <w:basedOn w:val="DefaultParagraphFont"/>
    <w:link w:val="Footer"/>
    <w:uiPriority w:val="99"/>
    <w:rsid w:val="00E51545"/>
    <w:rPr>
      <w:rFonts w:ascii="Garamond" w:eastAsia="SimSun" w:hAnsi="Garamond" w:cs="Times New Roman"/>
      <w:sz w:val="23"/>
      <w:szCs w:val="24"/>
      <w:lang w:val="en-US"/>
    </w:rPr>
  </w:style>
  <w:style w:type="character" w:styleId="PageNumber">
    <w:name w:val="page number"/>
    <w:basedOn w:val="DefaultParagraphFont"/>
    <w:rsid w:val="00E51545"/>
  </w:style>
  <w:style w:type="paragraph" w:styleId="NormalWeb">
    <w:name w:val="Normal (Web)"/>
    <w:basedOn w:val="Normal"/>
    <w:uiPriority w:val="99"/>
    <w:rsid w:val="00E51545"/>
    <w:pPr>
      <w:spacing w:before="100" w:beforeAutospacing="1" w:after="100" w:afterAutospacing="1" w:line="240" w:lineRule="auto"/>
    </w:pPr>
    <w:rPr>
      <w:rFonts w:ascii="Times New Roman" w:eastAsia="SimSun" w:hAnsi="Times New Roman" w:cs="Times New Roman"/>
      <w:sz w:val="24"/>
      <w:szCs w:val="24"/>
      <w:lang w:val="en-US"/>
    </w:rPr>
  </w:style>
  <w:style w:type="character" w:styleId="Strong">
    <w:name w:val="Strong"/>
    <w:qFormat/>
    <w:rsid w:val="00E51545"/>
    <w:rPr>
      <w:b/>
      <w:bCs/>
    </w:rPr>
  </w:style>
  <w:style w:type="character" w:customStyle="1" w:styleId="FootnoteTextChar1">
    <w:name w:val="Footnote Text Char1"/>
    <w:semiHidden/>
    <w:locked/>
    <w:rsid w:val="00E51545"/>
    <w:rPr>
      <w:rFonts w:ascii="Garamond" w:eastAsia="SimSun" w:hAnsi="Garamond" w:cs="Times New Roman"/>
      <w:lang w:val="en-US" w:eastAsia="zh-CN" w:bidi="ar-SA"/>
    </w:rPr>
  </w:style>
  <w:style w:type="character" w:customStyle="1" w:styleId="CharChar1">
    <w:name w:val="Char Char1"/>
    <w:semiHidden/>
    <w:rsid w:val="00E51545"/>
    <w:rPr>
      <w:rFonts w:cs="Angsana New"/>
      <w:lang w:val="en-GB" w:eastAsia="zh-CN" w:bidi="ar-SA"/>
    </w:rPr>
  </w:style>
  <w:style w:type="paragraph" w:styleId="Revision">
    <w:name w:val="Revision"/>
    <w:hidden/>
    <w:uiPriority w:val="99"/>
    <w:semiHidden/>
    <w:rsid w:val="00E51545"/>
    <w:pPr>
      <w:spacing w:after="0" w:line="240" w:lineRule="auto"/>
    </w:pPr>
    <w:rPr>
      <w:rFonts w:ascii="Garamond" w:eastAsia="SimSun" w:hAnsi="Garamond" w:cs="Times New Roman"/>
      <w:sz w:val="23"/>
      <w:szCs w:val="24"/>
      <w:lang w:val="en-US"/>
    </w:rPr>
  </w:style>
  <w:style w:type="character" w:customStyle="1" w:styleId="CharChar3">
    <w:name w:val="Char Char3"/>
    <w:semiHidden/>
    <w:rsid w:val="00E51545"/>
    <w:rPr>
      <w:rFonts w:ascii="Garamond" w:eastAsia="SimSun" w:hAnsi="Garamond"/>
      <w:lang w:val="en-US" w:eastAsia="zh-CN" w:bidi="ar-SA"/>
    </w:rPr>
  </w:style>
  <w:style w:type="paragraph" w:customStyle="1" w:styleId="default0">
    <w:name w:val="default"/>
    <w:basedOn w:val="Normal"/>
    <w:rsid w:val="00E51545"/>
    <w:pPr>
      <w:autoSpaceDE w:val="0"/>
      <w:autoSpaceDN w:val="0"/>
      <w:spacing w:after="120" w:line="240" w:lineRule="auto"/>
    </w:pPr>
    <w:rPr>
      <w:rFonts w:ascii="Calibri" w:eastAsia="SimSun" w:hAnsi="Calibri" w:cs="Times New Roman"/>
      <w:color w:val="000000"/>
      <w:lang w:val="en-US"/>
    </w:rPr>
  </w:style>
  <w:style w:type="paragraph" w:customStyle="1" w:styleId="REPORTBodyText">
    <w:name w:val="REPORT BodyText"/>
    <w:link w:val="REPORTBodyTextChar"/>
    <w:qFormat/>
    <w:rsid w:val="00E51545"/>
    <w:pPr>
      <w:spacing w:after="240" w:line="240" w:lineRule="auto"/>
      <w:jc w:val="both"/>
    </w:pPr>
    <w:rPr>
      <w:rFonts w:ascii="Times New Roman" w:eastAsia="Calibri" w:hAnsi="Times New Roman" w:cs="Times New Roman"/>
      <w:sz w:val="24"/>
      <w:lang w:val="en-US" w:eastAsia="en-US"/>
    </w:rPr>
  </w:style>
  <w:style w:type="character" w:customStyle="1" w:styleId="REPORTBodyTextChar">
    <w:name w:val="REPORT BodyText Char"/>
    <w:link w:val="REPORTBodyText"/>
    <w:rsid w:val="00E51545"/>
    <w:rPr>
      <w:rFonts w:ascii="Times New Roman" w:eastAsia="Calibri" w:hAnsi="Times New Roman" w:cs="Times New Roman"/>
      <w:sz w:val="24"/>
      <w:lang w:val="en-US" w:eastAsia="en-US"/>
    </w:rPr>
  </w:style>
  <w:style w:type="paragraph" w:styleId="BodyText">
    <w:name w:val="Body Text"/>
    <w:basedOn w:val="Paragraph"/>
    <w:link w:val="BodyTextChar1"/>
    <w:rsid w:val="00B867BE"/>
    <w:rPr>
      <w:rFonts w:eastAsia="Calibri"/>
      <w:sz w:val="20"/>
      <w:lang w:eastAsia="en-US"/>
    </w:rPr>
  </w:style>
  <w:style w:type="paragraph" w:customStyle="1" w:styleId="Paragraph">
    <w:name w:val="Paragraph"/>
    <w:basedOn w:val="Normal"/>
    <w:qFormat/>
    <w:rsid w:val="00E51545"/>
    <w:pPr>
      <w:spacing w:after="240" w:line="240" w:lineRule="auto"/>
    </w:pPr>
    <w:rPr>
      <w:rFonts w:ascii="Calibri" w:eastAsia="SimSun" w:hAnsi="Calibri" w:cs="Calibri"/>
      <w:lang w:val="en-US"/>
    </w:rPr>
  </w:style>
  <w:style w:type="character" w:customStyle="1" w:styleId="BodyTextChar1">
    <w:name w:val="Body Text Char1"/>
    <w:link w:val="BodyText"/>
    <w:rsid w:val="00B867BE"/>
    <w:rPr>
      <w:rFonts w:ascii="Calibri" w:eastAsia="Calibri" w:hAnsi="Calibri" w:cs="Calibri"/>
      <w:sz w:val="20"/>
      <w:lang w:val="en-US" w:eastAsia="en-US"/>
    </w:rPr>
  </w:style>
  <w:style w:type="character" w:customStyle="1" w:styleId="BodyTextChar">
    <w:name w:val="Body Text Char"/>
    <w:basedOn w:val="DefaultParagraphFont"/>
    <w:rsid w:val="00E51545"/>
  </w:style>
  <w:style w:type="paragraph" w:customStyle="1" w:styleId="Body1">
    <w:name w:val="Body 1"/>
    <w:rsid w:val="00E51545"/>
    <w:pPr>
      <w:spacing w:after="0" w:line="240" w:lineRule="auto"/>
    </w:pPr>
    <w:rPr>
      <w:rFonts w:ascii="Helvetica" w:eastAsia="ヒラギノ角ゴ Pro W3" w:hAnsi="Helvetica" w:cs="Times New Roman"/>
      <w:color w:val="000000"/>
      <w:sz w:val="24"/>
      <w:szCs w:val="20"/>
      <w:lang w:val="en-US" w:eastAsia="en-US"/>
    </w:rPr>
  </w:style>
  <w:style w:type="paragraph" w:customStyle="1" w:styleId="TableContents">
    <w:name w:val="Table Contents"/>
    <w:basedOn w:val="Normal"/>
    <w:rsid w:val="00E51545"/>
    <w:pPr>
      <w:widowControl w:val="0"/>
      <w:suppressLineNumbers/>
      <w:suppressAutoHyphens/>
      <w:spacing w:after="0" w:line="240" w:lineRule="auto"/>
    </w:pPr>
    <w:rPr>
      <w:rFonts w:ascii="Times New Roman" w:eastAsia="SimSun" w:hAnsi="Times New Roman" w:cs="Mangal"/>
      <w:kern w:val="1"/>
      <w:sz w:val="24"/>
      <w:szCs w:val="24"/>
      <w:lang w:val="en-CA" w:eastAsia="hi-IN" w:bidi="hi-IN"/>
    </w:rPr>
  </w:style>
  <w:style w:type="paragraph" w:customStyle="1" w:styleId="WHO">
    <w:name w:val="WHO"/>
    <w:basedOn w:val="Normal"/>
    <w:rsid w:val="00E51545"/>
    <w:pPr>
      <w:spacing w:after="0" w:line="240" w:lineRule="auto"/>
    </w:pPr>
    <w:rPr>
      <w:rFonts w:ascii="Times New Roman" w:eastAsia="Times New Roman" w:hAnsi="Times New Roman" w:cs="Times New Roman"/>
      <w:sz w:val="24"/>
      <w:szCs w:val="24"/>
    </w:rPr>
  </w:style>
  <w:style w:type="paragraph" w:styleId="Title">
    <w:name w:val="Title"/>
    <w:basedOn w:val="Normal"/>
    <w:link w:val="TitleChar"/>
    <w:qFormat/>
    <w:rsid w:val="00E51545"/>
    <w:pPr>
      <w:spacing w:after="0" w:line="240" w:lineRule="auto"/>
      <w:jc w:val="center"/>
    </w:pPr>
    <w:rPr>
      <w:rFonts w:ascii="Arial Black" w:eastAsia="MS Mincho" w:hAnsi="Arial Black" w:cs="Times New Roman"/>
      <w:b/>
      <w:sz w:val="21"/>
      <w:szCs w:val="24"/>
      <w:u w:val="single"/>
      <w:lang w:val="en-US" w:eastAsia="en-US"/>
    </w:rPr>
  </w:style>
  <w:style w:type="character" w:customStyle="1" w:styleId="TitleChar">
    <w:name w:val="Title Char"/>
    <w:basedOn w:val="DefaultParagraphFont"/>
    <w:link w:val="Title"/>
    <w:rsid w:val="00E51545"/>
    <w:rPr>
      <w:rFonts w:ascii="Arial Black" w:eastAsia="MS Mincho" w:hAnsi="Arial Black" w:cs="Times New Roman"/>
      <w:b/>
      <w:sz w:val="21"/>
      <w:szCs w:val="24"/>
      <w:u w:val="single"/>
      <w:lang w:val="en-US" w:eastAsia="en-US"/>
    </w:rPr>
  </w:style>
  <w:style w:type="paragraph" w:customStyle="1" w:styleId="Heading-Annexes">
    <w:name w:val="Heading-Annexes"/>
    <w:basedOn w:val="Heading-1"/>
    <w:rsid w:val="00E51545"/>
    <w:pPr>
      <w:pBdr>
        <w:bottom w:val="single" w:sz="12" w:space="1" w:color="5480B0"/>
      </w:pBdr>
    </w:pPr>
  </w:style>
  <w:style w:type="character" w:styleId="FollowedHyperlink">
    <w:name w:val="FollowedHyperlink"/>
    <w:uiPriority w:val="99"/>
    <w:rsid w:val="00E51545"/>
    <w:rPr>
      <w:color w:val="606420"/>
      <w:u w:val="single"/>
    </w:rPr>
  </w:style>
  <w:style w:type="character" w:styleId="Emphasis">
    <w:name w:val="Emphasis"/>
    <w:qFormat/>
    <w:rsid w:val="00E51545"/>
    <w:rPr>
      <w:b/>
      <w:bCs/>
      <w:i w:val="0"/>
      <w:iCs w:val="0"/>
    </w:rPr>
  </w:style>
  <w:style w:type="paragraph" w:customStyle="1" w:styleId="Pa16">
    <w:name w:val="Pa16"/>
    <w:basedOn w:val="Normal"/>
    <w:next w:val="Normal"/>
    <w:rsid w:val="00E51545"/>
    <w:pPr>
      <w:autoSpaceDE w:val="0"/>
      <w:autoSpaceDN w:val="0"/>
      <w:adjustRightInd w:val="0"/>
      <w:spacing w:after="0" w:line="221" w:lineRule="atLeast"/>
    </w:pPr>
    <w:rPr>
      <w:rFonts w:ascii="Minion Pro" w:eastAsia="SimSun" w:hAnsi="Minion Pro" w:cs="Times New Roman"/>
      <w:sz w:val="24"/>
      <w:szCs w:val="24"/>
      <w:lang w:val="en-US"/>
    </w:rPr>
  </w:style>
  <w:style w:type="character" w:customStyle="1" w:styleId="A7">
    <w:name w:val="A7"/>
    <w:rsid w:val="00E51545"/>
    <w:rPr>
      <w:rFonts w:ascii="MS Mincho" w:eastAsia="MS Mincho" w:cs="MS Mincho"/>
      <w:color w:val="000000"/>
      <w:sz w:val="14"/>
      <w:szCs w:val="14"/>
    </w:rPr>
  </w:style>
  <w:style w:type="paragraph" w:customStyle="1" w:styleId="Pa21">
    <w:name w:val="Pa21"/>
    <w:basedOn w:val="Normal"/>
    <w:next w:val="Normal"/>
    <w:rsid w:val="00E51545"/>
    <w:pPr>
      <w:autoSpaceDE w:val="0"/>
      <w:autoSpaceDN w:val="0"/>
      <w:adjustRightInd w:val="0"/>
      <w:spacing w:after="0" w:line="221" w:lineRule="atLeast"/>
    </w:pPr>
    <w:rPr>
      <w:rFonts w:ascii="Myriad Pro Light Cond" w:eastAsia="SimSun" w:hAnsi="Myriad Pro Light Cond" w:cs="Times New Roman"/>
      <w:sz w:val="24"/>
      <w:szCs w:val="24"/>
      <w:lang w:val="en-US"/>
    </w:rPr>
  </w:style>
  <w:style w:type="paragraph" w:customStyle="1" w:styleId="Pa20">
    <w:name w:val="Pa20"/>
    <w:basedOn w:val="Normal"/>
    <w:next w:val="Normal"/>
    <w:rsid w:val="00E51545"/>
    <w:pPr>
      <w:autoSpaceDE w:val="0"/>
      <w:autoSpaceDN w:val="0"/>
      <w:adjustRightInd w:val="0"/>
      <w:spacing w:after="0" w:line="221" w:lineRule="atLeast"/>
    </w:pPr>
    <w:rPr>
      <w:rFonts w:ascii="Myriad Pro" w:eastAsia="SimSun" w:hAnsi="Myriad Pro" w:cs="Times New Roman"/>
      <w:sz w:val="24"/>
      <w:szCs w:val="24"/>
      <w:lang w:val="en-US"/>
    </w:rPr>
  </w:style>
  <w:style w:type="character" w:customStyle="1" w:styleId="A14">
    <w:name w:val="A14"/>
    <w:rsid w:val="00E51545"/>
    <w:rPr>
      <w:rFonts w:ascii="Myriad Pro Light Cond" w:hAnsi="Myriad Pro Light Cond" w:cs="Myriad Pro Light Cond"/>
      <w:color w:val="000000"/>
      <w:sz w:val="12"/>
      <w:szCs w:val="12"/>
    </w:rPr>
  </w:style>
  <w:style w:type="character" w:customStyle="1" w:styleId="textparagraph">
    <w:name w:val="textparagraph"/>
    <w:basedOn w:val="DefaultParagraphFont"/>
    <w:rsid w:val="00E51545"/>
  </w:style>
  <w:style w:type="character" w:customStyle="1" w:styleId="indica-txt">
    <w:name w:val="indica-txt"/>
    <w:basedOn w:val="DefaultParagraphFont"/>
    <w:rsid w:val="00E51545"/>
  </w:style>
  <w:style w:type="character" w:customStyle="1" w:styleId="referencetext1">
    <w:name w:val="referencetext1"/>
    <w:rsid w:val="00E51545"/>
    <w:rPr>
      <w:vanish w:val="0"/>
      <w:webHidden w:val="0"/>
      <w:specVanish w:val="0"/>
    </w:rPr>
  </w:style>
  <w:style w:type="paragraph" w:styleId="Caption">
    <w:name w:val="caption"/>
    <w:basedOn w:val="Normal"/>
    <w:next w:val="Normal"/>
    <w:qFormat/>
    <w:rsid w:val="00E51545"/>
    <w:pPr>
      <w:spacing w:after="180" w:line="240" w:lineRule="auto"/>
      <w:jc w:val="both"/>
    </w:pPr>
    <w:rPr>
      <w:rFonts w:ascii="Garamond" w:eastAsia="SimSun" w:hAnsi="Garamond" w:cs="Times New Roman"/>
      <w:b/>
      <w:bCs/>
      <w:sz w:val="20"/>
      <w:szCs w:val="20"/>
      <w:lang w:val="en-US"/>
    </w:rPr>
  </w:style>
  <w:style w:type="paragraph" w:styleId="Index1">
    <w:name w:val="index 1"/>
    <w:basedOn w:val="Normal"/>
    <w:next w:val="Normal"/>
    <w:autoRedefine/>
    <w:semiHidden/>
    <w:rsid w:val="00E51545"/>
    <w:pPr>
      <w:spacing w:after="180" w:line="240" w:lineRule="auto"/>
      <w:ind w:left="230" w:hanging="230"/>
      <w:jc w:val="both"/>
    </w:pPr>
    <w:rPr>
      <w:rFonts w:ascii="Garamond" w:eastAsia="SimSun" w:hAnsi="Garamond" w:cs="Times New Roman"/>
      <w:sz w:val="23"/>
      <w:szCs w:val="24"/>
      <w:lang w:val="en-US"/>
    </w:rPr>
  </w:style>
  <w:style w:type="paragraph" w:customStyle="1" w:styleId="table-heading">
    <w:name w:val="table-heading"/>
    <w:basedOn w:val="Normal"/>
    <w:link w:val="table-headingChar"/>
    <w:rsid w:val="00E51545"/>
    <w:pPr>
      <w:autoSpaceDE w:val="0"/>
      <w:autoSpaceDN w:val="0"/>
      <w:adjustRightInd w:val="0"/>
      <w:spacing w:beforeLines="20" w:before="48" w:afterLines="20" w:after="48" w:line="240" w:lineRule="auto"/>
    </w:pPr>
    <w:rPr>
      <w:rFonts w:ascii="Calibri" w:eastAsia="SimSun" w:hAnsi="Calibri" w:cs="Times New Roman"/>
      <w:b/>
      <w:bCs/>
      <w:color w:val="FFFFFF"/>
      <w:sz w:val="20"/>
      <w:szCs w:val="20"/>
      <w:lang w:val="en-US"/>
    </w:rPr>
  </w:style>
  <w:style w:type="character" w:customStyle="1" w:styleId="table-headingChar">
    <w:name w:val="table-heading Char"/>
    <w:link w:val="table-heading"/>
    <w:rsid w:val="00E51545"/>
    <w:rPr>
      <w:rFonts w:ascii="Calibri" w:eastAsia="SimSun" w:hAnsi="Calibri" w:cs="Times New Roman"/>
      <w:b/>
      <w:bCs/>
      <w:color w:val="FFFFFF"/>
      <w:sz w:val="20"/>
      <w:szCs w:val="20"/>
      <w:lang w:val="en-US"/>
    </w:rPr>
  </w:style>
  <w:style w:type="paragraph" w:customStyle="1" w:styleId="Table-bulletedlist">
    <w:name w:val="Table-bulleted list"/>
    <w:basedOn w:val="Normal"/>
    <w:rsid w:val="00E51545"/>
    <w:pPr>
      <w:numPr>
        <w:numId w:val="2"/>
      </w:numPr>
      <w:tabs>
        <w:tab w:val="clear" w:pos="720"/>
        <w:tab w:val="num" w:pos="252"/>
      </w:tabs>
      <w:autoSpaceDE w:val="0"/>
      <w:autoSpaceDN w:val="0"/>
      <w:adjustRightInd w:val="0"/>
      <w:spacing w:beforeLines="20" w:before="48" w:afterLines="20" w:after="48" w:line="240" w:lineRule="auto"/>
      <w:ind w:left="279" w:hanging="222"/>
    </w:pPr>
    <w:rPr>
      <w:rFonts w:ascii="Calibri" w:eastAsia="SimSun" w:hAnsi="Calibri" w:cs="LaikaFM-BookRoman"/>
      <w:sz w:val="18"/>
      <w:szCs w:val="18"/>
      <w:lang w:val="en-US"/>
    </w:rPr>
  </w:style>
  <w:style w:type="paragraph" w:customStyle="1" w:styleId="Style1">
    <w:name w:val="Style1"/>
    <w:basedOn w:val="Normal"/>
    <w:rsid w:val="00E51545"/>
    <w:pPr>
      <w:tabs>
        <w:tab w:val="num" w:pos="252"/>
      </w:tabs>
      <w:autoSpaceDE w:val="0"/>
      <w:autoSpaceDN w:val="0"/>
      <w:adjustRightInd w:val="0"/>
      <w:spacing w:beforeLines="20" w:before="48" w:afterLines="20" w:after="48" w:line="240" w:lineRule="auto"/>
      <w:ind w:left="720" w:hanging="648"/>
    </w:pPr>
    <w:rPr>
      <w:rFonts w:ascii="Calibri" w:eastAsia="SimSun" w:hAnsi="Calibri" w:cs="LaikaFM-BookRoman"/>
      <w:sz w:val="18"/>
      <w:szCs w:val="18"/>
      <w:lang w:val="en-US"/>
    </w:rPr>
  </w:style>
  <w:style w:type="paragraph" w:customStyle="1" w:styleId="Heading-Annexa">
    <w:name w:val="Heading-Annexa"/>
    <w:basedOn w:val="Heading-3"/>
    <w:rsid w:val="00E51545"/>
    <w:pPr>
      <w:pBdr>
        <w:bottom w:val="none" w:sz="0" w:space="0" w:color="auto"/>
      </w:pBdr>
    </w:pPr>
  </w:style>
  <w:style w:type="paragraph" w:customStyle="1" w:styleId="table-headingblack">
    <w:name w:val="table-heading(black)"/>
    <w:basedOn w:val="table-heading"/>
    <w:link w:val="table-headingblackChar"/>
    <w:rsid w:val="00E51545"/>
  </w:style>
  <w:style w:type="character" w:customStyle="1" w:styleId="table-headingblackChar">
    <w:name w:val="table-heading(black) Char"/>
    <w:basedOn w:val="table-headingChar"/>
    <w:link w:val="table-headingblack"/>
    <w:rsid w:val="00E51545"/>
    <w:rPr>
      <w:rFonts w:ascii="Calibri" w:eastAsia="SimSun" w:hAnsi="Calibri" w:cs="Times New Roman"/>
      <w:b/>
      <w:bCs/>
      <w:color w:val="FFFFFF"/>
      <w:sz w:val="20"/>
      <w:szCs w:val="20"/>
      <w:lang w:val="en-US"/>
    </w:rPr>
  </w:style>
  <w:style w:type="paragraph" w:customStyle="1" w:styleId="table-title">
    <w:name w:val="table - title"/>
    <w:basedOn w:val="Normal"/>
    <w:rsid w:val="00E51545"/>
    <w:pPr>
      <w:spacing w:after="0" w:line="240" w:lineRule="auto"/>
    </w:pPr>
    <w:rPr>
      <w:rFonts w:ascii="Cambria" w:eastAsia="SimSun" w:hAnsi="Cambria" w:cs="Times New Roman"/>
      <w:i/>
      <w:iCs/>
      <w:color w:val="003366"/>
      <w:lang w:val="en-US"/>
    </w:rPr>
  </w:style>
  <w:style w:type="paragraph" w:customStyle="1" w:styleId="table-title0">
    <w:name w:val="table-title"/>
    <w:basedOn w:val="Normal"/>
    <w:link w:val="table-titleChar"/>
    <w:rsid w:val="00E51545"/>
    <w:pPr>
      <w:spacing w:after="0" w:line="240" w:lineRule="auto"/>
    </w:pPr>
    <w:rPr>
      <w:rFonts w:ascii="Cambria" w:eastAsia="SimSun" w:hAnsi="Cambria" w:cs="Times New Roman"/>
      <w:color w:val="003366"/>
      <w:lang w:val="en-US"/>
    </w:rPr>
  </w:style>
  <w:style w:type="character" w:customStyle="1" w:styleId="table-titleChar">
    <w:name w:val="table-title Char"/>
    <w:link w:val="table-title0"/>
    <w:rsid w:val="00E51545"/>
    <w:rPr>
      <w:rFonts w:ascii="Cambria" w:eastAsia="SimSun" w:hAnsi="Cambria" w:cs="Times New Roman"/>
      <w:color w:val="003366"/>
      <w:lang w:val="en-US"/>
    </w:rPr>
  </w:style>
  <w:style w:type="paragraph" w:styleId="ListParagraph">
    <w:name w:val="List Paragraph"/>
    <w:basedOn w:val="Normal"/>
    <w:uiPriority w:val="34"/>
    <w:qFormat/>
    <w:rsid w:val="00E51545"/>
    <w:pPr>
      <w:ind w:left="720"/>
      <w:contextualSpacing/>
    </w:pPr>
    <w:rPr>
      <w:rFonts w:ascii="Calibri" w:eastAsia="SimSun" w:hAnsi="Calibri" w:cs="Arial"/>
    </w:rPr>
  </w:style>
  <w:style w:type="character" w:customStyle="1" w:styleId="tagline2">
    <w:name w:val="tagline2"/>
    <w:rsid w:val="00E51545"/>
  </w:style>
  <w:style w:type="table" w:styleId="TableClassic1">
    <w:name w:val="Table Classic 1"/>
    <w:basedOn w:val="TableNormal"/>
    <w:rsid w:val="00E51545"/>
    <w:pPr>
      <w:spacing w:after="0" w:line="240" w:lineRule="auto"/>
    </w:pPr>
    <w:rPr>
      <w:rFonts w:ascii="Times New Roman" w:eastAsia="SimSu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edlist">
    <w:name w:val="Bulleted list"/>
    <w:basedOn w:val="Normal"/>
    <w:qFormat/>
    <w:rsid w:val="00E51545"/>
    <w:pPr>
      <w:numPr>
        <w:numId w:val="1"/>
      </w:numPr>
      <w:tabs>
        <w:tab w:val="clear" w:pos="720"/>
      </w:tabs>
      <w:spacing w:before="120" w:after="120" w:line="240" w:lineRule="auto"/>
      <w:ind w:left="357" w:hanging="357"/>
    </w:pPr>
    <w:rPr>
      <w:rFonts w:eastAsiaTheme="minorHAnsi" w:cstheme="minorHAnsi"/>
      <w:color w:val="000000" w:themeColor="text1"/>
      <w:lang w:eastAsia="en-US"/>
    </w:rPr>
  </w:style>
  <w:style w:type="paragraph" w:customStyle="1" w:styleId="Tablesub-heading">
    <w:name w:val="Table sub-heading"/>
    <w:basedOn w:val="Normal"/>
    <w:next w:val="Normal"/>
    <w:qFormat/>
    <w:rsid w:val="00FB47A2"/>
    <w:pPr>
      <w:shd w:val="clear" w:color="auto" w:fill="DDE5EF"/>
      <w:spacing w:after="120" w:line="240" w:lineRule="auto"/>
    </w:pPr>
    <w:rPr>
      <w:rFonts w:ascii="Arial Narrow" w:hAnsi="Arial Narrow" w:cs="Calibri"/>
      <w:b/>
      <w:bCs/>
      <w:noProof/>
      <w:color w:val="5480B0"/>
      <w:sz w:val="20"/>
      <w:szCs w:val="20"/>
    </w:rPr>
  </w:style>
  <w:style w:type="paragraph" w:customStyle="1" w:styleId="font5">
    <w:name w:val="font5"/>
    <w:basedOn w:val="Normal"/>
    <w:rsid w:val="00254C15"/>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254C15"/>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7">
    <w:name w:val="font7"/>
    <w:basedOn w:val="Normal"/>
    <w:rsid w:val="00254C15"/>
    <w:pPr>
      <w:spacing w:before="100" w:beforeAutospacing="1" w:after="100" w:afterAutospacing="1" w:line="240" w:lineRule="auto"/>
    </w:pPr>
    <w:rPr>
      <w:rFonts w:ascii="Calibri" w:eastAsia="Times New Roman" w:hAnsi="Calibri" w:cs="Calibri"/>
      <w:color w:val="00B050"/>
      <w:sz w:val="20"/>
      <w:szCs w:val="20"/>
    </w:rPr>
  </w:style>
  <w:style w:type="paragraph" w:customStyle="1" w:styleId="font8">
    <w:name w:val="font8"/>
    <w:basedOn w:val="Normal"/>
    <w:rsid w:val="00254C15"/>
    <w:pPr>
      <w:spacing w:before="100" w:beforeAutospacing="1" w:after="100" w:afterAutospacing="1" w:line="240" w:lineRule="auto"/>
    </w:pPr>
    <w:rPr>
      <w:rFonts w:ascii="Calibri" w:eastAsia="Times New Roman" w:hAnsi="Calibri" w:cs="Calibri"/>
      <w:sz w:val="20"/>
      <w:szCs w:val="20"/>
    </w:rPr>
  </w:style>
  <w:style w:type="paragraph" w:customStyle="1" w:styleId="font9">
    <w:name w:val="font9"/>
    <w:basedOn w:val="Normal"/>
    <w:rsid w:val="00254C15"/>
    <w:pPr>
      <w:spacing w:before="100" w:beforeAutospacing="1" w:after="100" w:afterAutospacing="1" w:line="240" w:lineRule="auto"/>
    </w:pPr>
    <w:rPr>
      <w:rFonts w:ascii="Calibri" w:eastAsia="Times New Roman" w:hAnsi="Calibri" w:cs="Calibri"/>
      <w:color w:val="FF0000"/>
      <w:sz w:val="20"/>
      <w:szCs w:val="20"/>
    </w:rPr>
  </w:style>
  <w:style w:type="paragraph" w:customStyle="1" w:styleId="font10">
    <w:name w:val="font10"/>
    <w:basedOn w:val="Normal"/>
    <w:rsid w:val="00254C15"/>
    <w:pPr>
      <w:spacing w:before="100" w:beforeAutospacing="1" w:after="100" w:afterAutospacing="1" w:line="240" w:lineRule="auto"/>
    </w:pPr>
    <w:rPr>
      <w:rFonts w:ascii="Calibri" w:eastAsia="Times New Roman" w:hAnsi="Calibri" w:cs="Calibri"/>
      <w:sz w:val="20"/>
      <w:szCs w:val="20"/>
    </w:rPr>
  </w:style>
  <w:style w:type="paragraph" w:customStyle="1" w:styleId="xl63">
    <w:name w:val="xl63"/>
    <w:basedOn w:val="Normal"/>
    <w:rsid w:val="00254C15"/>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4">
    <w:name w:val="xl64"/>
    <w:basedOn w:val="Normal"/>
    <w:rsid w:val="00254C15"/>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Normal"/>
    <w:rsid w:val="00254C15"/>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6">
    <w:name w:val="xl66"/>
    <w:basedOn w:val="Normal"/>
    <w:rsid w:val="00254C15"/>
    <w:pPr>
      <w:spacing w:before="100" w:beforeAutospacing="1" w:after="100" w:afterAutospacing="1" w:line="240" w:lineRule="auto"/>
      <w:textAlignment w:val="top"/>
    </w:pPr>
    <w:rPr>
      <w:rFonts w:ascii="Times New Roman" w:eastAsia="Times New Roman" w:hAnsi="Times New Roman" w:cs="Times New Roman"/>
      <w:color w:val="FF0000"/>
      <w:sz w:val="20"/>
      <w:szCs w:val="20"/>
    </w:rPr>
  </w:style>
  <w:style w:type="paragraph" w:customStyle="1" w:styleId="xl67">
    <w:name w:val="xl67"/>
    <w:basedOn w:val="Normal"/>
    <w:rsid w:val="00254C15"/>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8">
    <w:name w:val="xl68"/>
    <w:basedOn w:val="Normal"/>
    <w:rsid w:val="00254C1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top"/>
    </w:pPr>
    <w:rPr>
      <w:rFonts w:ascii="Times New Roman" w:eastAsia="Times New Roman" w:hAnsi="Times New Roman" w:cs="Times New Roman"/>
      <w:b/>
      <w:bCs/>
      <w:color w:val="FFFFFF"/>
      <w:sz w:val="20"/>
      <w:szCs w:val="20"/>
    </w:rPr>
  </w:style>
  <w:style w:type="paragraph" w:customStyle="1" w:styleId="xl69">
    <w:name w:val="xl69"/>
    <w:basedOn w:val="Normal"/>
    <w:rsid w:val="00254C1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0">
    <w:name w:val="xl70"/>
    <w:basedOn w:val="Normal"/>
    <w:rsid w:val="00254C1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1">
    <w:name w:val="xl71"/>
    <w:basedOn w:val="Normal"/>
    <w:rsid w:val="00254C15"/>
    <w:pPr>
      <w:pBdr>
        <w:top w:val="single" w:sz="4" w:space="0" w:color="auto"/>
        <w:left w:val="single" w:sz="4" w:space="0" w:color="auto"/>
        <w:bottom w:val="single" w:sz="4" w:space="0" w:color="auto"/>
        <w:right w:val="single" w:sz="4" w:space="0" w:color="auto"/>
      </w:pBdr>
      <w:shd w:val="clear" w:color="000000" w:fill="FFF8DE"/>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2">
    <w:name w:val="xl72"/>
    <w:basedOn w:val="Normal"/>
    <w:rsid w:val="00254C15"/>
    <w:pPr>
      <w:pBdr>
        <w:top w:val="single" w:sz="4" w:space="0" w:color="auto"/>
        <w:left w:val="single" w:sz="4" w:space="0" w:color="auto"/>
        <w:bottom w:val="single" w:sz="4" w:space="0" w:color="auto"/>
        <w:right w:val="single" w:sz="4" w:space="0" w:color="auto"/>
      </w:pBdr>
      <w:shd w:val="clear" w:color="000000" w:fill="E5DCF4"/>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IndicatorName">
    <w:name w:val="IndicatorName"/>
    <w:qFormat/>
    <w:rsid w:val="004F0EE6"/>
    <w:pPr>
      <w:framePr w:hSpace="180" w:wrap="around" w:vAnchor="text" w:hAnchor="margin" w:y="86"/>
      <w:spacing w:beforeLines="20" w:before="48" w:after="20" w:line="240" w:lineRule="auto"/>
    </w:pPr>
    <w:rPr>
      <w:rFonts w:ascii="Arial Narrow" w:eastAsia="TT15Ct00" w:hAnsi="Arial Narrow" w:cstheme="minorHAnsi"/>
      <w:b/>
      <w:bCs/>
      <w:color w:val="003366"/>
      <w:sz w:val="20"/>
      <w:lang w:eastAsia="en-US"/>
    </w:rPr>
  </w:style>
  <w:style w:type="paragraph" w:customStyle="1" w:styleId="IndicatorText">
    <w:name w:val="IndicatorText"/>
    <w:basedOn w:val="Normal"/>
    <w:qFormat/>
    <w:rsid w:val="00FC4C37"/>
    <w:pPr>
      <w:framePr w:hSpace="180" w:wrap="around" w:vAnchor="text" w:hAnchor="margin" w:y="86"/>
      <w:autoSpaceDE w:val="0"/>
      <w:autoSpaceDN w:val="0"/>
      <w:adjustRightInd w:val="0"/>
      <w:spacing w:before="80" w:after="80" w:line="240" w:lineRule="auto"/>
    </w:pPr>
    <w:rPr>
      <w:rFonts w:eastAsia="TT15Ct00" w:cstheme="minorHAnsi"/>
      <w:color w:val="000000" w:themeColor="text1"/>
      <w:sz w:val="16"/>
      <w:szCs w:val="18"/>
      <w:lang w:eastAsia="en-US"/>
    </w:rPr>
  </w:style>
  <w:style w:type="paragraph" w:styleId="TOC4">
    <w:name w:val="toc 4"/>
    <w:basedOn w:val="Normal"/>
    <w:next w:val="Normal"/>
    <w:autoRedefine/>
    <w:uiPriority w:val="39"/>
    <w:unhideWhenUsed/>
    <w:rsid w:val="00FF2722"/>
    <w:pPr>
      <w:spacing w:after="100"/>
      <w:ind w:left="660"/>
    </w:pPr>
  </w:style>
  <w:style w:type="paragraph" w:styleId="TOC5">
    <w:name w:val="toc 5"/>
    <w:basedOn w:val="Normal"/>
    <w:next w:val="Normal"/>
    <w:autoRedefine/>
    <w:uiPriority w:val="39"/>
    <w:unhideWhenUsed/>
    <w:rsid w:val="00FF2722"/>
    <w:pPr>
      <w:spacing w:after="100"/>
      <w:ind w:left="880"/>
    </w:pPr>
  </w:style>
  <w:style w:type="paragraph" w:styleId="TOC6">
    <w:name w:val="toc 6"/>
    <w:basedOn w:val="Normal"/>
    <w:next w:val="Normal"/>
    <w:autoRedefine/>
    <w:uiPriority w:val="39"/>
    <w:unhideWhenUsed/>
    <w:rsid w:val="00FF2722"/>
    <w:pPr>
      <w:spacing w:after="100"/>
      <w:ind w:left="1100"/>
    </w:pPr>
  </w:style>
  <w:style w:type="paragraph" w:styleId="TOC7">
    <w:name w:val="toc 7"/>
    <w:basedOn w:val="Normal"/>
    <w:next w:val="Normal"/>
    <w:autoRedefine/>
    <w:uiPriority w:val="39"/>
    <w:unhideWhenUsed/>
    <w:rsid w:val="00FF2722"/>
    <w:pPr>
      <w:spacing w:after="100"/>
      <w:ind w:left="1320"/>
    </w:pPr>
  </w:style>
  <w:style w:type="paragraph" w:styleId="TOC8">
    <w:name w:val="toc 8"/>
    <w:basedOn w:val="Normal"/>
    <w:next w:val="Normal"/>
    <w:autoRedefine/>
    <w:uiPriority w:val="39"/>
    <w:unhideWhenUsed/>
    <w:rsid w:val="00FF2722"/>
    <w:pPr>
      <w:spacing w:after="100"/>
      <w:ind w:left="1540"/>
    </w:pPr>
  </w:style>
  <w:style w:type="paragraph" w:styleId="TOC9">
    <w:name w:val="toc 9"/>
    <w:basedOn w:val="Normal"/>
    <w:next w:val="Normal"/>
    <w:autoRedefine/>
    <w:uiPriority w:val="39"/>
    <w:unhideWhenUsed/>
    <w:rsid w:val="00FF2722"/>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6543">
      <w:bodyDiv w:val="1"/>
      <w:marLeft w:val="0"/>
      <w:marRight w:val="0"/>
      <w:marTop w:val="0"/>
      <w:marBottom w:val="0"/>
      <w:divBdr>
        <w:top w:val="none" w:sz="0" w:space="0" w:color="auto"/>
        <w:left w:val="none" w:sz="0" w:space="0" w:color="auto"/>
        <w:bottom w:val="none" w:sz="0" w:space="0" w:color="auto"/>
        <w:right w:val="none" w:sz="0" w:space="0" w:color="auto"/>
      </w:divBdr>
    </w:div>
    <w:div w:id="41907757">
      <w:bodyDiv w:val="1"/>
      <w:marLeft w:val="0"/>
      <w:marRight w:val="0"/>
      <w:marTop w:val="0"/>
      <w:marBottom w:val="0"/>
      <w:divBdr>
        <w:top w:val="none" w:sz="0" w:space="0" w:color="auto"/>
        <w:left w:val="none" w:sz="0" w:space="0" w:color="auto"/>
        <w:bottom w:val="none" w:sz="0" w:space="0" w:color="auto"/>
        <w:right w:val="none" w:sz="0" w:space="0" w:color="auto"/>
      </w:divBdr>
    </w:div>
    <w:div w:id="66344514">
      <w:bodyDiv w:val="1"/>
      <w:marLeft w:val="0"/>
      <w:marRight w:val="0"/>
      <w:marTop w:val="0"/>
      <w:marBottom w:val="0"/>
      <w:divBdr>
        <w:top w:val="none" w:sz="0" w:space="0" w:color="auto"/>
        <w:left w:val="none" w:sz="0" w:space="0" w:color="auto"/>
        <w:bottom w:val="none" w:sz="0" w:space="0" w:color="auto"/>
        <w:right w:val="none" w:sz="0" w:space="0" w:color="auto"/>
      </w:divBdr>
    </w:div>
    <w:div w:id="98066264">
      <w:bodyDiv w:val="1"/>
      <w:marLeft w:val="0"/>
      <w:marRight w:val="0"/>
      <w:marTop w:val="0"/>
      <w:marBottom w:val="0"/>
      <w:divBdr>
        <w:top w:val="none" w:sz="0" w:space="0" w:color="auto"/>
        <w:left w:val="none" w:sz="0" w:space="0" w:color="auto"/>
        <w:bottom w:val="none" w:sz="0" w:space="0" w:color="auto"/>
        <w:right w:val="none" w:sz="0" w:space="0" w:color="auto"/>
      </w:divBdr>
    </w:div>
    <w:div w:id="166790526">
      <w:bodyDiv w:val="1"/>
      <w:marLeft w:val="0"/>
      <w:marRight w:val="0"/>
      <w:marTop w:val="0"/>
      <w:marBottom w:val="0"/>
      <w:divBdr>
        <w:top w:val="none" w:sz="0" w:space="0" w:color="auto"/>
        <w:left w:val="none" w:sz="0" w:space="0" w:color="auto"/>
        <w:bottom w:val="none" w:sz="0" w:space="0" w:color="auto"/>
        <w:right w:val="none" w:sz="0" w:space="0" w:color="auto"/>
      </w:divBdr>
    </w:div>
    <w:div w:id="176577030">
      <w:bodyDiv w:val="1"/>
      <w:marLeft w:val="0"/>
      <w:marRight w:val="0"/>
      <w:marTop w:val="0"/>
      <w:marBottom w:val="0"/>
      <w:divBdr>
        <w:top w:val="none" w:sz="0" w:space="0" w:color="auto"/>
        <w:left w:val="none" w:sz="0" w:space="0" w:color="auto"/>
        <w:bottom w:val="none" w:sz="0" w:space="0" w:color="auto"/>
        <w:right w:val="none" w:sz="0" w:space="0" w:color="auto"/>
      </w:divBdr>
    </w:div>
    <w:div w:id="306476388">
      <w:bodyDiv w:val="1"/>
      <w:marLeft w:val="0"/>
      <w:marRight w:val="0"/>
      <w:marTop w:val="0"/>
      <w:marBottom w:val="0"/>
      <w:divBdr>
        <w:top w:val="none" w:sz="0" w:space="0" w:color="auto"/>
        <w:left w:val="none" w:sz="0" w:space="0" w:color="auto"/>
        <w:bottom w:val="none" w:sz="0" w:space="0" w:color="auto"/>
        <w:right w:val="none" w:sz="0" w:space="0" w:color="auto"/>
      </w:divBdr>
    </w:div>
    <w:div w:id="421147201">
      <w:bodyDiv w:val="1"/>
      <w:marLeft w:val="0"/>
      <w:marRight w:val="0"/>
      <w:marTop w:val="0"/>
      <w:marBottom w:val="0"/>
      <w:divBdr>
        <w:top w:val="none" w:sz="0" w:space="0" w:color="auto"/>
        <w:left w:val="none" w:sz="0" w:space="0" w:color="auto"/>
        <w:bottom w:val="none" w:sz="0" w:space="0" w:color="auto"/>
        <w:right w:val="none" w:sz="0" w:space="0" w:color="auto"/>
      </w:divBdr>
    </w:div>
    <w:div w:id="428282738">
      <w:bodyDiv w:val="1"/>
      <w:marLeft w:val="0"/>
      <w:marRight w:val="0"/>
      <w:marTop w:val="0"/>
      <w:marBottom w:val="0"/>
      <w:divBdr>
        <w:top w:val="none" w:sz="0" w:space="0" w:color="auto"/>
        <w:left w:val="none" w:sz="0" w:space="0" w:color="auto"/>
        <w:bottom w:val="none" w:sz="0" w:space="0" w:color="auto"/>
        <w:right w:val="none" w:sz="0" w:space="0" w:color="auto"/>
      </w:divBdr>
    </w:div>
    <w:div w:id="476653625">
      <w:bodyDiv w:val="1"/>
      <w:marLeft w:val="0"/>
      <w:marRight w:val="0"/>
      <w:marTop w:val="0"/>
      <w:marBottom w:val="0"/>
      <w:divBdr>
        <w:top w:val="none" w:sz="0" w:space="0" w:color="auto"/>
        <w:left w:val="none" w:sz="0" w:space="0" w:color="auto"/>
        <w:bottom w:val="none" w:sz="0" w:space="0" w:color="auto"/>
        <w:right w:val="none" w:sz="0" w:space="0" w:color="auto"/>
      </w:divBdr>
    </w:div>
    <w:div w:id="481191701">
      <w:bodyDiv w:val="1"/>
      <w:marLeft w:val="0"/>
      <w:marRight w:val="0"/>
      <w:marTop w:val="0"/>
      <w:marBottom w:val="0"/>
      <w:divBdr>
        <w:top w:val="none" w:sz="0" w:space="0" w:color="auto"/>
        <w:left w:val="none" w:sz="0" w:space="0" w:color="auto"/>
        <w:bottom w:val="none" w:sz="0" w:space="0" w:color="auto"/>
        <w:right w:val="none" w:sz="0" w:space="0" w:color="auto"/>
      </w:divBdr>
    </w:div>
    <w:div w:id="552348948">
      <w:bodyDiv w:val="1"/>
      <w:marLeft w:val="0"/>
      <w:marRight w:val="0"/>
      <w:marTop w:val="0"/>
      <w:marBottom w:val="0"/>
      <w:divBdr>
        <w:top w:val="none" w:sz="0" w:space="0" w:color="auto"/>
        <w:left w:val="none" w:sz="0" w:space="0" w:color="auto"/>
        <w:bottom w:val="none" w:sz="0" w:space="0" w:color="auto"/>
        <w:right w:val="none" w:sz="0" w:space="0" w:color="auto"/>
      </w:divBdr>
    </w:div>
    <w:div w:id="561528006">
      <w:bodyDiv w:val="1"/>
      <w:marLeft w:val="0"/>
      <w:marRight w:val="0"/>
      <w:marTop w:val="0"/>
      <w:marBottom w:val="0"/>
      <w:divBdr>
        <w:top w:val="none" w:sz="0" w:space="0" w:color="auto"/>
        <w:left w:val="none" w:sz="0" w:space="0" w:color="auto"/>
        <w:bottom w:val="none" w:sz="0" w:space="0" w:color="auto"/>
        <w:right w:val="none" w:sz="0" w:space="0" w:color="auto"/>
      </w:divBdr>
    </w:div>
    <w:div w:id="632828282">
      <w:bodyDiv w:val="1"/>
      <w:marLeft w:val="0"/>
      <w:marRight w:val="0"/>
      <w:marTop w:val="0"/>
      <w:marBottom w:val="0"/>
      <w:divBdr>
        <w:top w:val="none" w:sz="0" w:space="0" w:color="auto"/>
        <w:left w:val="none" w:sz="0" w:space="0" w:color="auto"/>
        <w:bottom w:val="none" w:sz="0" w:space="0" w:color="auto"/>
        <w:right w:val="none" w:sz="0" w:space="0" w:color="auto"/>
      </w:divBdr>
      <w:divsChild>
        <w:div w:id="800226013">
          <w:marLeft w:val="0"/>
          <w:marRight w:val="0"/>
          <w:marTop w:val="0"/>
          <w:marBottom w:val="0"/>
          <w:divBdr>
            <w:top w:val="none" w:sz="0" w:space="0" w:color="auto"/>
            <w:left w:val="none" w:sz="0" w:space="0" w:color="auto"/>
            <w:bottom w:val="none" w:sz="0" w:space="0" w:color="auto"/>
            <w:right w:val="none" w:sz="0" w:space="0" w:color="auto"/>
          </w:divBdr>
          <w:divsChild>
            <w:div w:id="841623853">
              <w:marLeft w:val="0"/>
              <w:marRight w:val="0"/>
              <w:marTop w:val="0"/>
              <w:marBottom w:val="0"/>
              <w:divBdr>
                <w:top w:val="none" w:sz="0" w:space="0" w:color="auto"/>
                <w:left w:val="none" w:sz="0" w:space="0" w:color="auto"/>
                <w:bottom w:val="none" w:sz="0" w:space="0" w:color="auto"/>
                <w:right w:val="none" w:sz="0" w:space="0" w:color="auto"/>
              </w:divBdr>
              <w:divsChild>
                <w:div w:id="2070419987">
                  <w:marLeft w:val="0"/>
                  <w:marRight w:val="0"/>
                  <w:marTop w:val="0"/>
                  <w:marBottom w:val="0"/>
                  <w:divBdr>
                    <w:top w:val="single" w:sz="6" w:space="3" w:color="BBD6EF"/>
                    <w:left w:val="single" w:sz="6" w:space="3" w:color="BBD6EF"/>
                    <w:bottom w:val="single" w:sz="6" w:space="3" w:color="BBD6EF"/>
                    <w:right w:val="single" w:sz="6" w:space="3" w:color="BBD6EF"/>
                  </w:divBdr>
                </w:div>
              </w:divsChild>
            </w:div>
          </w:divsChild>
        </w:div>
      </w:divsChild>
    </w:div>
    <w:div w:id="697967511">
      <w:bodyDiv w:val="1"/>
      <w:marLeft w:val="0"/>
      <w:marRight w:val="0"/>
      <w:marTop w:val="0"/>
      <w:marBottom w:val="0"/>
      <w:divBdr>
        <w:top w:val="none" w:sz="0" w:space="0" w:color="auto"/>
        <w:left w:val="none" w:sz="0" w:space="0" w:color="auto"/>
        <w:bottom w:val="none" w:sz="0" w:space="0" w:color="auto"/>
        <w:right w:val="none" w:sz="0" w:space="0" w:color="auto"/>
      </w:divBdr>
    </w:div>
    <w:div w:id="716319145">
      <w:bodyDiv w:val="1"/>
      <w:marLeft w:val="0"/>
      <w:marRight w:val="0"/>
      <w:marTop w:val="0"/>
      <w:marBottom w:val="0"/>
      <w:divBdr>
        <w:top w:val="none" w:sz="0" w:space="0" w:color="auto"/>
        <w:left w:val="none" w:sz="0" w:space="0" w:color="auto"/>
        <w:bottom w:val="none" w:sz="0" w:space="0" w:color="auto"/>
        <w:right w:val="none" w:sz="0" w:space="0" w:color="auto"/>
      </w:divBdr>
    </w:div>
    <w:div w:id="830145694">
      <w:bodyDiv w:val="1"/>
      <w:marLeft w:val="0"/>
      <w:marRight w:val="0"/>
      <w:marTop w:val="0"/>
      <w:marBottom w:val="0"/>
      <w:divBdr>
        <w:top w:val="none" w:sz="0" w:space="0" w:color="auto"/>
        <w:left w:val="none" w:sz="0" w:space="0" w:color="auto"/>
        <w:bottom w:val="none" w:sz="0" w:space="0" w:color="auto"/>
        <w:right w:val="none" w:sz="0" w:space="0" w:color="auto"/>
      </w:divBdr>
    </w:div>
    <w:div w:id="848712073">
      <w:bodyDiv w:val="1"/>
      <w:marLeft w:val="0"/>
      <w:marRight w:val="0"/>
      <w:marTop w:val="0"/>
      <w:marBottom w:val="0"/>
      <w:divBdr>
        <w:top w:val="none" w:sz="0" w:space="0" w:color="auto"/>
        <w:left w:val="none" w:sz="0" w:space="0" w:color="auto"/>
        <w:bottom w:val="none" w:sz="0" w:space="0" w:color="auto"/>
        <w:right w:val="none" w:sz="0" w:space="0" w:color="auto"/>
      </w:divBdr>
    </w:div>
    <w:div w:id="888808039">
      <w:bodyDiv w:val="1"/>
      <w:marLeft w:val="0"/>
      <w:marRight w:val="0"/>
      <w:marTop w:val="0"/>
      <w:marBottom w:val="0"/>
      <w:divBdr>
        <w:top w:val="none" w:sz="0" w:space="0" w:color="auto"/>
        <w:left w:val="none" w:sz="0" w:space="0" w:color="auto"/>
        <w:bottom w:val="none" w:sz="0" w:space="0" w:color="auto"/>
        <w:right w:val="none" w:sz="0" w:space="0" w:color="auto"/>
      </w:divBdr>
    </w:div>
    <w:div w:id="906112700">
      <w:bodyDiv w:val="1"/>
      <w:marLeft w:val="0"/>
      <w:marRight w:val="0"/>
      <w:marTop w:val="0"/>
      <w:marBottom w:val="0"/>
      <w:divBdr>
        <w:top w:val="none" w:sz="0" w:space="0" w:color="auto"/>
        <w:left w:val="none" w:sz="0" w:space="0" w:color="auto"/>
        <w:bottom w:val="none" w:sz="0" w:space="0" w:color="auto"/>
        <w:right w:val="none" w:sz="0" w:space="0" w:color="auto"/>
      </w:divBdr>
    </w:div>
    <w:div w:id="983433681">
      <w:bodyDiv w:val="1"/>
      <w:marLeft w:val="0"/>
      <w:marRight w:val="0"/>
      <w:marTop w:val="0"/>
      <w:marBottom w:val="0"/>
      <w:divBdr>
        <w:top w:val="none" w:sz="0" w:space="0" w:color="auto"/>
        <w:left w:val="none" w:sz="0" w:space="0" w:color="auto"/>
        <w:bottom w:val="none" w:sz="0" w:space="0" w:color="auto"/>
        <w:right w:val="none" w:sz="0" w:space="0" w:color="auto"/>
      </w:divBdr>
    </w:div>
    <w:div w:id="1083837422">
      <w:bodyDiv w:val="1"/>
      <w:marLeft w:val="0"/>
      <w:marRight w:val="0"/>
      <w:marTop w:val="0"/>
      <w:marBottom w:val="0"/>
      <w:divBdr>
        <w:top w:val="none" w:sz="0" w:space="0" w:color="auto"/>
        <w:left w:val="none" w:sz="0" w:space="0" w:color="auto"/>
        <w:bottom w:val="none" w:sz="0" w:space="0" w:color="auto"/>
        <w:right w:val="none" w:sz="0" w:space="0" w:color="auto"/>
      </w:divBdr>
    </w:div>
    <w:div w:id="1149831489">
      <w:bodyDiv w:val="1"/>
      <w:marLeft w:val="0"/>
      <w:marRight w:val="0"/>
      <w:marTop w:val="0"/>
      <w:marBottom w:val="0"/>
      <w:divBdr>
        <w:top w:val="none" w:sz="0" w:space="0" w:color="auto"/>
        <w:left w:val="none" w:sz="0" w:space="0" w:color="auto"/>
        <w:bottom w:val="none" w:sz="0" w:space="0" w:color="auto"/>
        <w:right w:val="none" w:sz="0" w:space="0" w:color="auto"/>
      </w:divBdr>
    </w:div>
    <w:div w:id="1168787953">
      <w:bodyDiv w:val="1"/>
      <w:marLeft w:val="0"/>
      <w:marRight w:val="0"/>
      <w:marTop w:val="0"/>
      <w:marBottom w:val="0"/>
      <w:divBdr>
        <w:top w:val="none" w:sz="0" w:space="0" w:color="auto"/>
        <w:left w:val="none" w:sz="0" w:space="0" w:color="auto"/>
        <w:bottom w:val="none" w:sz="0" w:space="0" w:color="auto"/>
        <w:right w:val="none" w:sz="0" w:space="0" w:color="auto"/>
      </w:divBdr>
    </w:div>
    <w:div w:id="1172336558">
      <w:bodyDiv w:val="1"/>
      <w:marLeft w:val="0"/>
      <w:marRight w:val="0"/>
      <w:marTop w:val="0"/>
      <w:marBottom w:val="0"/>
      <w:divBdr>
        <w:top w:val="none" w:sz="0" w:space="0" w:color="auto"/>
        <w:left w:val="none" w:sz="0" w:space="0" w:color="auto"/>
        <w:bottom w:val="none" w:sz="0" w:space="0" w:color="auto"/>
        <w:right w:val="none" w:sz="0" w:space="0" w:color="auto"/>
      </w:divBdr>
    </w:div>
    <w:div w:id="1302275149">
      <w:bodyDiv w:val="1"/>
      <w:marLeft w:val="0"/>
      <w:marRight w:val="0"/>
      <w:marTop w:val="0"/>
      <w:marBottom w:val="0"/>
      <w:divBdr>
        <w:top w:val="none" w:sz="0" w:space="0" w:color="auto"/>
        <w:left w:val="none" w:sz="0" w:space="0" w:color="auto"/>
        <w:bottom w:val="none" w:sz="0" w:space="0" w:color="auto"/>
        <w:right w:val="none" w:sz="0" w:space="0" w:color="auto"/>
      </w:divBdr>
    </w:div>
    <w:div w:id="1335495132">
      <w:bodyDiv w:val="1"/>
      <w:marLeft w:val="0"/>
      <w:marRight w:val="0"/>
      <w:marTop w:val="0"/>
      <w:marBottom w:val="0"/>
      <w:divBdr>
        <w:top w:val="none" w:sz="0" w:space="0" w:color="auto"/>
        <w:left w:val="none" w:sz="0" w:space="0" w:color="auto"/>
        <w:bottom w:val="none" w:sz="0" w:space="0" w:color="auto"/>
        <w:right w:val="none" w:sz="0" w:space="0" w:color="auto"/>
      </w:divBdr>
    </w:div>
    <w:div w:id="1355306612">
      <w:bodyDiv w:val="1"/>
      <w:marLeft w:val="0"/>
      <w:marRight w:val="0"/>
      <w:marTop w:val="0"/>
      <w:marBottom w:val="0"/>
      <w:divBdr>
        <w:top w:val="none" w:sz="0" w:space="0" w:color="auto"/>
        <w:left w:val="none" w:sz="0" w:space="0" w:color="auto"/>
        <w:bottom w:val="none" w:sz="0" w:space="0" w:color="auto"/>
        <w:right w:val="none" w:sz="0" w:space="0" w:color="auto"/>
      </w:divBdr>
    </w:div>
    <w:div w:id="1373841580">
      <w:bodyDiv w:val="1"/>
      <w:marLeft w:val="0"/>
      <w:marRight w:val="0"/>
      <w:marTop w:val="0"/>
      <w:marBottom w:val="0"/>
      <w:divBdr>
        <w:top w:val="none" w:sz="0" w:space="0" w:color="auto"/>
        <w:left w:val="none" w:sz="0" w:space="0" w:color="auto"/>
        <w:bottom w:val="none" w:sz="0" w:space="0" w:color="auto"/>
        <w:right w:val="none" w:sz="0" w:space="0" w:color="auto"/>
      </w:divBdr>
    </w:div>
    <w:div w:id="1405489532">
      <w:bodyDiv w:val="1"/>
      <w:marLeft w:val="0"/>
      <w:marRight w:val="0"/>
      <w:marTop w:val="0"/>
      <w:marBottom w:val="0"/>
      <w:divBdr>
        <w:top w:val="none" w:sz="0" w:space="0" w:color="auto"/>
        <w:left w:val="none" w:sz="0" w:space="0" w:color="auto"/>
        <w:bottom w:val="none" w:sz="0" w:space="0" w:color="auto"/>
        <w:right w:val="none" w:sz="0" w:space="0" w:color="auto"/>
      </w:divBdr>
    </w:div>
    <w:div w:id="1447581269">
      <w:bodyDiv w:val="1"/>
      <w:marLeft w:val="0"/>
      <w:marRight w:val="0"/>
      <w:marTop w:val="0"/>
      <w:marBottom w:val="0"/>
      <w:divBdr>
        <w:top w:val="none" w:sz="0" w:space="0" w:color="auto"/>
        <w:left w:val="none" w:sz="0" w:space="0" w:color="auto"/>
        <w:bottom w:val="none" w:sz="0" w:space="0" w:color="auto"/>
        <w:right w:val="none" w:sz="0" w:space="0" w:color="auto"/>
      </w:divBdr>
    </w:div>
    <w:div w:id="1476870676">
      <w:bodyDiv w:val="1"/>
      <w:marLeft w:val="0"/>
      <w:marRight w:val="0"/>
      <w:marTop w:val="0"/>
      <w:marBottom w:val="0"/>
      <w:divBdr>
        <w:top w:val="none" w:sz="0" w:space="0" w:color="auto"/>
        <w:left w:val="none" w:sz="0" w:space="0" w:color="auto"/>
        <w:bottom w:val="none" w:sz="0" w:space="0" w:color="auto"/>
        <w:right w:val="none" w:sz="0" w:space="0" w:color="auto"/>
      </w:divBdr>
    </w:div>
    <w:div w:id="1541673303">
      <w:bodyDiv w:val="1"/>
      <w:marLeft w:val="0"/>
      <w:marRight w:val="0"/>
      <w:marTop w:val="0"/>
      <w:marBottom w:val="0"/>
      <w:divBdr>
        <w:top w:val="none" w:sz="0" w:space="0" w:color="auto"/>
        <w:left w:val="none" w:sz="0" w:space="0" w:color="auto"/>
        <w:bottom w:val="none" w:sz="0" w:space="0" w:color="auto"/>
        <w:right w:val="none" w:sz="0" w:space="0" w:color="auto"/>
      </w:divBdr>
    </w:div>
    <w:div w:id="1605307930">
      <w:bodyDiv w:val="1"/>
      <w:marLeft w:val="0"/>
      <w:marRight w:val="0"/>
      <w:marTop w:val="0"/>
      <w:marBottom w:val="0"/>
      <w:divBdr>
        <w:top w:val="none" w:sz="0" w:space="0" w:color="auto"/>
        <w:left w:val="none" w:sz="0" w:space="0" w:color="auto"/>
        <w:bottom w:val="none" w:sz="0" w:space="0" w:color="auto"/>
        <w:right w:val="none" w:sz="0" w:space="0" w:color="auto"/>
      </w:divBdr>
    </w:div>
    <w:div w:id="1608921765">
      <w:bodyDiv w:val="1"/>
      <w:marLeft w:val="0"/>
      <w:marRight w:val="0"/>
      <w:marTop w:val="0"/>
      <w:marBottom w:val="0"/>
      <w:divBdr>
        <w:top w:val="none" w:sz="0" w:space="0" w:color="auto"/>
        <w:left w:val="none" w:sz="0" w:space="0" w:color="auto"/>
        <w:bottom w:val="none" w:sz="0" w:space="0" w:color="auto"/>
        <w:right w:val="none" w:sz="0" w:space="0" w:color="auto"/>
      </w:divBdr>
    </w:div>
    <w:div w:id="1627542710">
      <w:bodyDiv w:val="1"/>
      <w:marLeft w:val="0"/>
      <w:marRight w:val="0"/>
      <w:marTop w:val="0"/>
      <w:marBottom w:val="0"/>
      <w:divBdr>
        <w:top w:val="none" w:sz="0" w:space="0" w:color="auto"/>
        <w:left w:val="none" w:sz="0" w:space="0" w:color="auto"/>
        <w:bottom w:val="none" w:sz="0" w:space="0" w:color="auto"/>
        <w:right w:val="none" w:sz="0" w:space="0" w:color="auto"/>
      </w:divBdr>
    </w:div>
    <w:div w:id="1714160060">
      <w:bodyDiv w:val="1"/>
      <w:marLeft w:val="0"/>
      <w:marRight w:val="0"/>
      <w:marTop w:val="0"/>
      <w:marBottom w:val="0"/>
      <w:divBdr>
        <w:top w:val="none" w:sz="0" w:space="0" w:color="auto"/>
        <w:left w:val="none" w:sz="0" w:space="0" w:color="auto"/>
        <w:bottom w:val="none" w:sz="0" w:space="0" w:color="auto"/>
        <w:right w:val="none" w:sz="0" w:space="0" w:color="auto"/>
      </w:divBdr>
    </w:div>
    <w:div w:id="1763598029">
      <w:bodyDiv w:val="1"/>
      <w:marLeft w:val="0"/>
      <w:marRight w:val="0"/>
      <w:marTop w:val="0"/>
      <w:marBottom w:val="0"/>
      <w:divBdr>
        <w:top w:val="none" w:sz="0" w:space="0" w:color="auto"/>
        <w:left w:val="none" w:sz="0" w:space="0" w:color="auto"/>
        <w:bottom w:val="none" w:sz="0" w:space="0" w:color="auto"/>
        <w:right w:val="none" w:sz="0" w:space="0" w:color="auto"/>
      </w:divBdr>
    </w:div>
    <w:div w:id="1867791618">
      <w:bodyDiv w:val="1"/>
      <w:marLeft w:val="0"/>
      <w:marRight w:val="0"/>
      <w:marTop w:val="0"/>
      <w:marBottom w:val="0"/>
      <w:divBdr>
        <w:top w:val="none" w:sz="0" w:space="0" w:color="auto"/>
        <w:left w:val="none" w:sz="0" w:space="0" w:color="auto"/>
        <w:bottom w:val="none" w:sz="0" w:space="0" w:color="auto"/>
        <w:right w:val="none" w:sz="0" w:space="0" w:color="auto"/>
      </w:divBdr>
    </w:div>
    <w:div w:id="1869486290">
      <w:bodyDiv w:val="1"/>
      <w:marLeft w:val="0"/>
      <w:marRight w:val="0"/>
      <w:marTop w:val="0"/>
      <w:marBottom w:val="0"/>
      <w:divBdr>
        <w:top w:val="none" w:sz="0" w:space="0" w:color="auto"/>
        <w:left w:val="none" w:sz="0" w:space="0" w:color="auto"/>
        <w:bottom w:val="none" w:sz="0" w:space="0" w:color="auto"/>
        <w:right w:val="none" w:sz="0" w:space="0" w:color="auto"/>
      </w:divBdr>
    </w:div>
    <w:div w:id="1881089521">
      <w:bodyDiv w:val="1"/>
      <w:marLeft w:val="0"/>
      <w:marRight w:val="0"/>
      <w:marTop w:val="0"/>
      <w:marBottom w:val="0"/>
      <w:divBdr>
        <w:top w:val="none" w:sz="0" w:space="0" w:color="auto"/>
        <w:left w:val="none" w:sz="0" w:space="0" w:color="auto"/>
        <w:bottom w:val="none" w:sz="0" w:space="0" w:color="auto"/>
        <w:right w:val="none" w:sz="0" w:space="0" w:color="auto"/>
      </w:divBdr>
    </w:div>
    <w:div w:id="1926037842">
      <w:bodyDiv w:val="1"/>
      <w:marLeft w:val="0"/>
      <w:marRight w:val="0"/>
      <w:marTop w:val="0"/>
      <w:marBottom w:val="0"/>
      <w:divBdr>
        <w:top w:val="none" w:sz="0" w:space="0" w:color="auto"/>
        <w:left w:val="none" w:sz="0" w:space="0" w:color="auto"/>
        <w:bottom w:val="none" w:sz="0" w:space="0" w:color="auto"/>
        <w:right w:val="none" w:sz="0" w:space="0" w:color="auto"/>
      </w:divBdr>
      <w:divsChild>
        <w:div w:id="1262181195">
          <w:marLeft w:val="0"/>
          <w:marRight w:val="0"/>
          <w:marTop w:val="0"/>
          <w:marBottom w:val="0"/>
          <w:divBdr>
            <w:top w:val="none" w:sz="0" w:space="0" w:color="auto"/>
            <w:left w:val="none" w:sz="0" w:space="0" w:color="auto"/>
            <w:bottom w:val="none" w:sz="0" w:space="0" w:color="auto"/>
            <w:right w:val="none" w:sz="0" w:space="0" w:color="auto"/>
          </w:divBdr>
        </w:div>
      </w:divsChild>
    </w:div>
    <w:div w:id="2002393259">
      <w:bodyDiv w:val="1"/>
      <w:marLeft w:val="0"/>
      <w:marRight w:val="0"/>
      <w:marTop w:val="0"/>
      <w:marBottom w:val="0"/>
      <w:divBdr>
        <w:top w:val="none" w:sz="0" w:space="0" w:color="auto"/>
        <w:left w:val="none" w:sz="0" w:space="0" w:color="auto"/>
        <w:bottom w:val="none" w:sz="0" w:space="0" w:color="auto"/>
        <w:right w:val="none" w:sz="0" w:space="0" w:color="auto"/>
      </w:divBdr>
    </w:div>
    <w:div w:id="204586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worldbank.org/en/topic/health/publication/analyzing-health-equity-using-household-survey-data"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7B2B2-9865-4E4D-9292-52B3505D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12251</Words>
  <Characters>69837</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WHO</Company>
  <LinksUpToDate>false</LinksUpToDate>
  <CharactersWithSpaces>81925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RUSCIANO, Florence</dc:creator>
  <cp:lastModifiedBy>Benjamin Rae</cp:lastModifiedBy>
  <cp:revision>2</cp:revision>
  <cp:lastPrinted>2015-05-14T10:58:00Z</cp:lastPrinted>
  <dcterms:created xsi:type="dcterms:W3CDTF">2015-05-15T20:28:00Z</dcterms:created>
  <dcterms:modified xsi:type="dcterms:W3CDTF">2015-05-15T20:28:00Z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